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1E1CFF" w14:textId="05EBEDA5" w:rsidR="00450365" w:rsidRDefault="00000000">
      <w:pPr>
        <w:pStyle w:val="3GPPHeader"/>
        <w:spacing w:after="0"/>
        <w:rPr>
          <w:rFonts w:ascii="Arial" w:hAnsi="Arial" w:cs="Arial"/>
          <w:sz w:val="22"/>
          <w:lang w:val="en-US"/>
        </w:rPr>
      </w:pPr>
      <w:r>
        <w:rPr>
          <w:rFonts w:ascii="Arial" w:hAnsi="Arial" w:cs="Arial"/>
          <w:sz w:val="22"/>
          <w:lang w:val="en-US"/>
        </w:rPr>
        <w:t>3GPP TSG-RAN WG2 Meeting #124</w:t>
      </w:r>
      <w:r>
        <w:rPr>
          <w:rFonts w:ascii="Arial" w:hAnsi="Arial" w:cs="Arial"/>
          <w:sz w:val="22"/>
          <w:lang w:val="en-US"/>
        </w:rPr>
        <w:tab/>
      </w:r>
      <w:r w:rsidR="000D40AC" w:rsidRPr="000D40AC">
        <w:rPr>
          <w:rFonts w:ascii="Arial" w:hAnsi="Arial" w:cs="Arial"/>
          <w:sz w:val="22"/>
          <w:lang w:val="en-US"/>
        </w:rPr>
        <w:t>R2-2313282</w:t>
      </w:r>
    </w:p>
    <w:p w14:paraId="1F4B5E45" w14:textId="77777777" w:rsidR="00450365" w:rsidRDefault="00000000">
      <w:pPr>
        <w:pStyle w:val="3GPPHeader"/>
        <w:spacing w:after="0"/>
        <w:rPr>
          <w:rFonts w:ascii="Arial" w:hAnsi="Arial" w:cs="Arial"/>
          <w:b w:val="0"/>
          <w:sz w:val="22"/>
          <w:lang w:val="en-US"/>
        </w:rPr>
      </w:pPr>
      <w:r>
        <w:rPr>
          <w:rFonts w:ascii="Arial" w:hAnsi="Arial" w:cs="Arial"/>
          <w:sz w:val="22"/>
          <w:lang w:val="en-US"/>
        </w:rPr>
        <w:t>Chicago, USA, 13th – 17th Nov. 2023</w:t>
      </w:r>
      <w:r>
        <w:rPr>
          <w:rFonts w:ascii="Arial" w:hAnsi="Arial" w:cs="Arial"/>
          <w:sz w:val="22"/>
          <w:lang w:val="en-US"/>
        </w:rPr>
        <w:tab/>
      </w:r>
    </w:p>
    <w:p w14:paraId="296C4BD1" w14:textId="77777777" w:rsidR="00450365" w:rsidRDefault="00000000">
      <w:pPr>
        <w:pStyle w:val="3GPPHeader"/>
        <w:spacing w:after="0"/>
        <w:rPr>
          <w:rFonts w:ascii="Arial" w:hAnsi="Arial" w:cs="Arial"/>
          <w:sz w:val="22"/>
          <w:lang w:val="en-US"/>
        </w:rPr>
      </w:pPr>
      <w:r>
        <w:rPr>
          <w:rFonts w:ascii="Arial" w:hAnsi="Arial" w:cs="Arial"/>
          <w:sz w:val="22"/>
          <w:lang w:val="en-US"/>
        </w:rPr>
        <w:tab/>
      </w:r>
    </w:p>
    <w:p w14:paraId="3AA56718" w14:textId="77777777" w:rsidR="00450365" w:rsidRDefault="00000000">
      <w:pPr>
        <w:pStyle w:val="3GPPHeader"/>
        <w:spacing w:after="120"/>
        <w:rPr>
          <w:rFonts w:ascii="Arial" w:hAnsi="Arial" w:cs="Arial"/>
          <w:b w:val="0"/>
          <w:sz w:val="22"/>
          <w:lang w:val="en-US"/>
        </w:rPr>
      </w:pPr>
      <w:r>
        <w:rPr>
          <w:rFonts w:ascii="Arial" w:hAnsi="Arial" w:cs="Arial"/>
          <w:sz w:val="22"/>
          <w:lang w:val="en-US"/>
        </w:rPr>
        <w:t>Agenda Item:</w:t>
      </w:r>
      <w:r>
        <w:rPr>
          <w:rFonts w:ascii="Arial" w:hAnsi="Arial" w:cs="Arial"/>
          <w:sz w:val="22"/>
          <w:lang w:val="en-US"/>
        </w:rPr>
        <w:tab/>
      </w:r>
      <w:r>
        <w:rPr>
          <w:rFonts w:ascii="Arial" w:hAnsi="Arial" w:cs="Arial"/>
          <w:b w:val="0"/>
          <w:sz w:val="22"/>
          <w:lang w:val="en-US"/>
        </w:rPr>
        <w:t>7.14.2</w:t>
      </w:r>
    </w:p>
    <w:p w14:paraId="7670D935" w14:textId="77777777" w:rsidR="00450365" w:rsidRDefault="00000000">
      <w:pPr>
        <w:pStyle w:val="3GPPHeader"/>
        <w:spacing w:after="120"/>
        <w:rPr>
          <w:rFonts w:ascii="Arial" w:hAnsi="Arial" w:cs="Arial"/>
          <w:b w:val="0"/>
          <w:sz w:val="22"/>
          <w:lang w:val="en-US"/>
        </w:rPr>
      </w:pPr>
      <w:r>
        <w:rPr>
          <w:rFonts w:ascii="Arial" w:hAnsi="Arial" w:cs="Arial"/>
          <w:sz w:val="22"/>
          <w:lang w:val="en-US"/>
        </w:rPr>
        <w:t xml:space="preserve">Source: </w:t>
      </w:r>
      <w:r>
        <w:rPr>
          <w:rFonts w:ascii="Arial" w:hAnsi="Arial" w:cs="Arial"/>
          <w:sz w:val="22"/>
          <w:lang w:val="en-US"/>
        </w:rPr>
        <w:tab/>
      </w:r>
      <w:r>
        <w:rPr>
          <w:rFonts w:ascii="Arial" w:hAnsi="Arial" w:cs="Arial"/>
          <w:b w:val="0"/>
          <w:bCs/>
          <w:sz w:val="22"/>
          <w:lang w:val="en-US"/>
        </w:rPr>
        <w:t>China Unicom</w:t>
      </w:r>
    </w:p>
    <w:p w14:paraId="6249D01F" w14:textId="77777777" w:rsidR="00450365" w:rsidRDefault="00000000">
      <w:pPr>
        <w:pStyle w:val="3GPPHeader"/>
        <w:spacing w:after="120"/>
        <w:rPr>
          <w:rFonts w:ascii="Arial" w:hAnsi="Arial" w:cs="Arial"/>
          <w:b w:val="0"/>
          <w:sz w:val="22"/>
          <w:lang w:val="en-US"/>
        </w:rPr>
      </w:pPr>
      <w:r>
        <w:rPr>
          <w:rFonts w:ascii="Arial" w:hAnsi="Arial" w:cs="Arial"/>
          <w:sz w:val="22"/>
          <w:lang w:val="en-US"/>
        </w:rPr>
        <w:t xml:space="preserve">Title:  </w:t>
      </w:r>
      <w:r>
        <w:rPr>
          <w:rFonts w:ascii="Arial" w:hAnsi="Arial" w:cs="Arial"/>
          <w:sz w:val="22"/>
          <w:lang w:val="en-US"/>
        </w:rPr>
        <w:tab/>
      </w:r>
      <w:r>
        <w:rPr>
          <w:rFonts w:ascii="Arial" w:hAnsi="Arial" w:cs="Arial"/>
          <w:b w:val="0"/>
          <w:sz w:val="22"/>
          <w:lang w:val="en-US"/>
        </w:rPr>
        <w:t>Discussion on QoE measurements in RRC_IDLE and INACTIVE states</w:t>
      </w:r>
    </w:p>
    <w:p w14:paraId="44C2177E" w14:textId="77777777" w:rsidR="00450365" w:rsidRDefault="00000000">
      <w:pPr>
        <w:pStyle w:val="3GPPHeader"/>
        <w:spacing w:after="120"/>
        <w:rPr>
          <w:rFonts w:ascii="Arial" w:hAnsi="Arial" w:cs="Arial"/>
          <w:b w:val="0"/>
          <w:bCs/>
          <w:sz w:val="22"/>
          <w:lang w:val="de-DE"/>
        </w:rPr>
      </w:pPr>
      <w:r>
        <w:rPr>
          <w:rFonts w:ascii="Arial" w:hAnsi="Arial" w:cs="Arial"/>
          <w:sz w:val="22"/>
          <w:lang w:val="de-DE"/>
        </w:rPr>
        <w:t>Document for:</w:t>
      </w:r>
      <w:r>
        <w:rPr>
          <w:rFonts w:ascii="Arial" w:hAnsi="Arial" w:cs="Arial"/>
          <w:sz w:val="22"/>
          <w:lang w:val="de-DE"/>
        </w:rPr>
        <w:tab/>
      </w:r>
      <w:r>
        <w:rPr>
          <w:rFonts w:ascii="Arial" w:hAnsi="Arial" w:cs="Arial"/>
          <w:b w:val="0"/>
          <w:bCs/>
          <w:sz w:val="22"/>
          <w:lang w:val="de-DE"/>
        </w:rPr>
        <w:t>Agreement</w:t>
      </w:r>
    </w:p>
    <w:p w14:paraId="650C1BA1" w14:textId="77777777" w:rsidR="00450365" w:rsidRDefault="00000000">
      <w:pPr>
        <w:pStyle w:val="1"/>
      </w:pPr>
      <w:r>
        <w:t>Introduction</w:t>
      </w:r>
    </w:p>
    <w:p w14:paraId="1C8CEE0B" w14:textId="00AE6747" w:rsidR="00450365" w:rsidRDefault="00000000">
      <w:pPr>
        <w:pStyle w:val="a7"/>
        <w:rPr>
          <w:rFonts w:eastAsia="等线"/>
          <w:lang w:eastAsia="zh-CN"/>
        </w:rPr>
      </w:pPr>
      <w:bookmarkStart w:id="0" w:name="_Toc242573354"/>
      <w:r>
        <w:rPr>
          <w:rFonts w:eastAsia="等线"/>
          <w:lang w:eastAsia="zh-CN"/>
        </w:rPr>
        <w:t xml:space="preserve">In the previous meeting, RAN2 has trigged the post email discussion [1] for MBS broadcast QoE measurement and some issues are left for </w:t>
      </w:r>
      <w:r>
        <w:rPr>
          <w:rFonts w:eastAsia="等线" w:hint="eastAsia"/>
          <w:lang w:eastAsia="zh-CN"/>
        </w:rPr>
        <w:t xml:space="preserve">further </w:t>
      </w:r>
      <w:r>
        <w:rPr>
          <w:rFonts w:eastAsia="等线"/>
          <w:lang w:eastAsia="zh-CN"/>
        </w:rPr>
        <w:t>details input, and RAN3 also sends a LS [2] to inform RAN</w:t>
      </w:r>
      <w:r>
        <w:rPr>
          <w:rFonts w:eastAsia="等线" w:hint="eastAsia"/>
          <w:lang w:eastAsia="zh-CN"/>
        </w:rPr>
        <w:t>3</w:t>
      </w:r>
      <w:r>
        <w:rPr>
          <w:rFonts w:eastAsia="等线"/>
          <w:lang w:eastAsia="zh-CN"/>
        </w:rPr>
        <w:t>’</w:t>
      </w:r>
      <w:r>
        <w:rPr>
          <w:rFonts w:eastAsia="等线" w:hint="eastAsia"/>
          <w:lang w:eastAsia="zh-CN"/>
        </w:rPr>
        <w:t>s</w:t>
      </w:r>
      <w:r>
        <w:rPr>
          <w:rFonts w:eastAsia="等线"/>
          <w:lang w:eastAsia="zh-CN"/>
        </w:rPr>
        <w:t xml:space="preserve"> agreements on MBS QoE measurement.</w:t>
      </w:r>
    </w:p>
    <w:p w14:paraId="6594EDD1" w14:textId="77777777" w:rsidR="00450365" w:rsidRDefault="00000000">
      <w:pPr>
        <w:pStyle w:val="a7"/>
        <w:rPr>
          <w:rFonts w:eastAsia="等线"/>
          <w:lang w:eastAsia="zh-CN"/>
        </w:rPr>
      </w:pPr>
      <w:r>
        <w:rPr>
          <w:rFonts w:eastAsia="等线" w:hint="eastAsia"/>
          <w:lang w:eastAsia="zh-CN"/>
        </w:rPr>
        <w:t>I</w:t>
      </w:r>
      <w:r>
        <w:rPr>
          <w:rFonts w:eastAsia="等线"/>
          <w:lang w:eastAsia="zh-CN"/>
        </w:rPr>
        <w:t xml:space="preserve">n this paper, RAN2 needs to discuss how to handle the left open issues for MBS QoE measurement, and discuss what are the impacts on RAN2 specs of RAN3 LS [2]. </w:t>
      </w:r>
    </w:p>
    <w:p w14:paraId="1D745241" w14:textId="77777777" w:rsidR="00450365" w:rsidRDefault="00000000">
      <w:pPr>
        <w:pStyle w:val="1"/>
      </w:pPr>
      <w:bookmarkStart w:id="1" w:name="_Hlk131714482"/>
      <w:r>
        <w:t>Discussion</w:t>
      </w:r>
      <w:bookmarkEnd w:id="0"/>
    </w:p>
    <w:bookmarkEnd w:id="1"/>
    <w:p w14:paraId="12844D99" w14:textId="77777777" w:rsidR="00450365" w:rsidRDefault="00000000">
      <w:pPr>
        <w:pStyle w:val="2"/>
        <w:numPr>
          <w:ilvl w:val="0"/>
          <w:numId w:val="0"/>
        </w:numPr>
      </w:pPr>
      <w:r>
        <w:t>2.1</w:t>
      </w:r>
      <w:r>
        <w:tab/>
        <w:t>Left issues for MBS QoE measurement</w:t>
      </w:r>
    </w:p>
    <w:p w14:paraId="78A1B315" w14:textId="77777777" w:rsidR="00450365" w:rsidRDefault="00000000">
      <w:pPr>
        <w:pStyle w:val="3"/>
      </w:pPr>
      <w:r>
        <w:t>AS-APP layer interaction enhancement</w:t>
      </w:r>
    </w:p>
    <w:p w14:paraId="6E6017EC" w14:textId="72BB57D5" w:rsidR="00450365" w:rsidRDefault="00000000">
      <w:pPr>
        <w:rPr>
          <w:rFonts w:eastAsia="等线"/>
          <w:lang w:eastAsia="zh-CN"/>
        </w:rPr>
      </w:pPr>
      <w:r>
        <w:rPr>
          <w:rFonts w:eastAsia="等线"/>
          <w:lang w:eastAsia="zh-CN"/>
        </w:rPr>
        <w:t xml:space="preserve">As both RAN2 and RAN3 has made </w:t>
      </w:r>
      <w:r>
        <w:rPr>
          <w:rFonts w:eastAsia="等线" w:hint="eastAsia"/>
          <w:lang w:eastAsia="zh-CN"/>
        </w:rPr>
        <w:t xml:space="preserve">some </w:t>
      </w:r>
      <w:r>
        <w:rPr>
          <w:rFonts w:eastAsia="等线"/>
          <w:lang w:eastAsia="zh-CN"/>
        </w:rPr>
        <w:t xml:space="preserve">working assumptions on </w:t>
      </w:r>
      <w:r>
        <w:rPr>
          <w:rFonts w:eastAsia="等线" w:hint="eastAsia"/>
          <w:lang w:eastAsia="zh-CN"/>
        </w:rPr>
        <w:t>IDL</w:t>
      </w:r>
      <w:r>
        <w:rPr>
          <w:rFonts w:eastAsia="等线"/>
          <w:lang w:eastAsia="zh-CN"/>
        </w:rPr>
        <w:t xml:space="preserve">E/INACTIVE QoE configurations storing and area scope checking based on UE based solutions, companies </w:t>
      </w:r>
      <w:r>
        <w:rPr>
          <w:rFonts w:eastAsia="等线" w:hint="eastAsia"/>
          <w:lang w:eastAsia="zh-CN"/>
        </w:rPr>
        <w:t xml:space="preserve">have the </w:t>
      </w:r>
      <w:r>
        <w:rPr>
          <w:rFonts w:eastAsia="等线"/>
          <w:lang w:eastAsia="zh-CN"/>
        </w:rPr>
        <w:t>discuss</w:t>
      </w:r>
      <w:r>
        <w:rPr>
          <w:rFonts w:eastAsia="等线" w:hint="eastAsia"/>
          <w:lang w:eastAsia="zh-CN"/>
        </w:rPr>
        <w:t>ion on</w:t>
      </w:r>
      <w:r>
        <w:rPr>
          <w:rFonts w:eastAsia="等线"/>
          <w:lang w:eastAsia="zh-CN"/>
        </w:rPr>
        <w:t xml:space="preserve"> the potential impacts on SA4 and SA5 specs, </w:t>
      </w:r>
      <w:proofErr w:type="gramStart"/>
      <w:r>
        <w:rPr>
          <w:rFonts w:eastAsia="等线"/>
          <w:lang w:eastAsia="zh-CN"/>
        </w:rPr>
        <w:t>e.g.</w:t>
      </w:r>
      <w:proofErr w:type="gramEnd"/>
      <w:r>
        <w:rPr>
          <w:rFonts w:eastAsia="等线"/>
          <w:lang w:eastAsia="zh-CN"/>
        </w:rPr>
        <w:t xml:space="preserve"> whether UE AS layer need to explicitly inform APP layer whether the UE is currently inside area scope or out of area scope via AT command</w:t>
      </w:r>
      <w:r w:rsidR="00BB02D1">
        <w:rPr>
          <w:rFonts w:eastAsia="等线"/>
          <w:lang w:eastAsia="zh-CN"/>
        </w:rPr>
        <w:t xml:space="preserve">, and </w:t>
      </w:r>
      <w:r>
        <w:rPr>
          <w:rFonts w:eastAsia="等线"/>
          <w:lang w:eastAsia="zh-CN"/>
        </w:rPr>
        <w:t xml:space="preserve">APP layer should only start new QoE measurement session when the UE is in the area scope? In the Rel-17, area scope checking procedure is </w:t>
      </w:r>
      <w:r>
        <w:rPr>
          <w:rFonts w:eastAsia="等线" w:hint="eastAsia"/>
          <w:lang w:eastAsia="zh-CN"/>
        </w:rPr>
        <w:t xml:space="preserve">executed </w:t>
      </w:r>
      <w:r>
        <w:rPr>
          <w:rFonts w:eastAsia="等线"/>
          <w:lang w:eastAsia="zh-CN"/>
        </w:rPr>
        <w:t xml:space="preserve">after the session start/stop procedures in APP layer. However, this </w:t>
      </w:r>
      <w:r w:rsidR="00BB02D1">
        <w:rPr>
          <w:rFonts w:eastAsia="等线"/>
          <w:lang w:eastAsia="zh-CN"/>
        </w:rPr>
        <w:t xml:space="preserve">may </w:t>
      </w:r>
      <w:r>
        <w:rPr>
          <w:rFonts w:eastAsia="等线"/>
          <w:lang w:eastAsia="zh-CN"/>
        </w:rPr>
        <w:t>result in</w:t>
      </w:r>
      <w:r>
        <w:rPr>
          <w:rFonts w:eastAsia="等线" w:hint="eastAsia"/>
          <w:lang w:eastAsia="zh-CN"/>
        </w:rPr>
        <w:t xml:space="preserve"> </w:t>
      </w:r>
      <w:r>
        <w:rPr>
          <w:rFonts w:eastAsia="等线"/>
          <w:lang w:eastAsia="zh-CN"/>
        </w:rPr>
        <w:t>frequent AS-APP interaction in IDLE/INACTIVE state</w:t>
      </w:r>
      <w:r>
        <w:rPr>
          <w:rFonts w:eastAsia="等线" w:hint="eastAsia"/>
          <w:lang w:eastAsia="zh-CN"/>
        </w:rPr>
        <w:t>.</w:t>
      </w:r>
      <w:r>
        <w:rPr>
          <w:rFonts w:eastAsia="等线"/>
          <w:lang w:eastAsia="zh-CN"/>
        </w:rPr>
        <w:t xml:space="preserve"> </w:t>
      </w:r>
      <w:r>
        <w:rPr>
          <w:rFonts w:eastAsia="等线" w:hint="eastAsia"/>
          <w:lang w:eastAsia="zh-CN"/>
        </w:rPr>
        <w:t>Considering this case,</w:t>
      </w:r>
      <w:r>
        <w:rPr>
          <w:rFonts w:eastAsia="等线"/>
          <w:lang w:eastAsia="zh-CN"/>
        </w:rPr>
        <w:t xml:space="preserve"> each QoE session needs to </w:t>
      </w:r>
      <w:r>
        <w:rPr>
          <w:rFonts w:eastAsia="等线" w:hint="eastAsia"/>
          <w:lang w:eastAsia="zh-CN"/>
        </w:rPr>
        <w:t xml:space="preserve">require for </w:t>
      </w:r>
      <w:r>
        <w:rPr>
          <w:rFonts w:eastAsia="等线"/>
          <w:lang w:eastAsia="zh-CN"/>
        </w:rPr>
        <w:t xml:space="preserve">the results of area scope checking from AS </w:t>
      </w:r>
      <w:r>
        <w:rPr>
          <w:rFonts w:eastAsia="等线" w:hint="eastAsia"/>
          <w:lang w:eastAsia="zh-CN"/>
        </w:rPr>
        <w:t>laye</w:t>
      </w:r>
      <w:r>
        <w:rPr>
          <w:rFonts w:eastAsia="等线"/>
          <w:lang w:eastAsia="zh-CN"/>
        </w:rPr>
        <w:t xml:space="preserve">r and then decide whether to stop the session or not. </w:t>
      </w:r>
      <w:proofErr w:type="gramStart"/>
      <w:r>
        <w:rPr>
          <w:rFonts w:eastAsia="等线"/>
          <w:lang w:eastAsia="zh-CN"/>
        </w:rPr>
        <w:t>So</w:t>
      </w:r>
      <w:proofErr w:type="gramEnd"/>
      <w:r>
        <w:rPr>
          <w:rFonts w:eastAsia="等线"/>
          <w:lang w:eastAsia="zh-CN"/>
        </w:rPr>
        <w:t xml:space="preserve"> it’s reasonable and profitable to enhance the current AS-APP layer interaction procedure for idle/inactive QoE measurement. The AS needs to send explicitly inform APP layer whether the UE is currently inside </w:t>
      </w:r>
      <w:r>
        <w:rPr>
          <w:rFonts w:eastAsia="等线" w:hint="eastAsia"/>
          <w:lang w:eastAsia="zh-CN"/>
        </w:rPr>
        <w:t xml:space="preserve">the </w:t>
      </w:r>
      <w:r>
        <w:rPr>
          <w:rFonts w:eastAsia="等线"/>
          <w:lang w:eastAsia="zh-CN"/>
        </w:rPr>
        <w:t xml:space="preserve">area scope or out of </w:t>
      </w:r>
      <w:r>
        <w:rPr>
          <w:rFonts w:eastAsia="等线" w:hint="eastAsia"/>
          <w:lang w:eastAsia="zh-CN"/>
        </w:rPr>
        <w:t xml:space="preserve">the </w:t>
      </w:r>
      <w:r>
        <w:rPr>
          <w:rFonts w:eastAsia="等线"/>
          <w:lang w:eastAsia="zh-CN"/>
        </w:rPr>
        <w:t>area scope via AT command</w:t>
      </w:r>
      <w:r>
        <w:rPr>
          <w:rFonts w:eastAsia="等线" w:hint="eastAsia"/>
          <w:lang w:eastAsia="zh-CN"/>
        </w:rPr>
        <w:t>.</w:t>
      </w:r>
      <w:r>
        <w:rPr>
          <w:rFonts w:eastAsia="等线"/>
          <w:lang w:eastAsia="zh-CN"/>
        </w:rPr>
        <w:t xml:space="preserve"> </w:t>
      </w:r>
      <w:r>
        <w:rPr>
          <w:rFonts w:eastAsia="等线" w:hint="eastAsia"/>
          <w:lang w:eastAsia="zh-CN"/>
        </w:rPr>
        <w:t>T</w:t>
      </w:r>
      <w:r>
        <w:rPr>
          <w:rFonts w:eastAsia="等线"/>
          <w:lang w:eastAsia="zh-CN"/>
        </w:rPr>
        <w:t xml:space="preserve">he </w:t>
      </w:r>
      <w:r>
        <w:rPr>
          <w:rFonts w:eastAsia="等线" w:hint="eastAsia"/>
          <w:lang w:eastAsia="zh-CN"/>
        </w:rPr>
        <w:t>APP layer</w:t>
      </w:r>
      <w:r>
        <w:rPr>
          <w:rFonts w:eastAsia="等线"/>
          <w:lang w:eastAsia="zh-CN"/>
        </w:rPr>
        <w:t xml:space="preserve"> can start new QoE measurement session when the UE is in</w:t>
      </w:r>
      <w:r>
        <w:rPr>
          <w:rFonts w:eastAsia="等线" w:hint="eastAsia"/>
          <w:lang w:eastAsia="zh-CN"/>
        </w:rPr>
        <w:t>side</w:t>
      </w:r>
      <w:r>
        <w:rPr>
          <w:rFonts w:eastAsia="等线"/>
          <w:lang w:eastAsia="zh-CN"/>
        </w:rPr>
        <w:t xml:space="preserve"> the area scope. </w:t>
      </w:r>
      <w:proofErr w:type="gramStart"/>
      <w:r>
        <w:rPr>
          <w:rFonts w:eastAsia="等线"/>
          <w:lang w:eastAsia="zh-CN"/>
        </w:rPr>
        <w:t>So</w:t>
      </w:r>
      <w:proofErr w:type="gramEnd"/>
      <w:r>
        <w:rPr>
          <w:rFonts w:eastAsia="等线"/>
          <w:lang w:eastAsia="zh-CN"/>
        </w:rPr>
        <w:t xml:space="preserve"> it’s proposed as below:</w:t>
      </w:r>
    </w:p>
    <w:p w14:paraId="787AFB22" w14:textId="18257FB1" w:rsidR="00450365" w:rsidRDefault="00000000">
      <w:pPr>
        <w:rPr>
          <w:b/>
          <w:lang w:val="en-GB" w:eastAsia="zh-CN"/>
        </w:rPr>
      </w:pPr>
      <w:r>
        <w:rPr>
          <w:b/>
          <w:lang w:val="en-GB" w:eastAsia="zh-CN"/>
        </w:rPr>
        <w:t xml:space="preserve">Proposal 1: AS layer need to explicitly inform APP layer whether the UE is currently inside </w:t>
      </w:r>
      <w:r>
        <w:rPr>
          <w:rFonts w:hint="eastAsia"/>
          <w:b/>
          <w:lang w:eastAsia="zh-CN"/>
        </w:rPr>
        <w:t xml:space="preserve">the </w:t>
      </w:r>
      <w:r>
        <w:rPr>
          <w:b/>
          <w:lang w:val="en-GB" w:eastAsia="zh-CN"/>
        </w:rPr>
        <w:t>area scope or out of</w:t>
      </w:r>
      <w:r>
        <w:rPr>
          <w:rFonts w:hint="eastAsia"/>
          <w:b/>
          <w:lang w:eastAsia="zh-CN"/>
        </w:rPr>
        <w:t xml:space="preserve"> the</w:t>
      </w:r>
      <w:r>
        <w:rPr>
          <w:b/>
          <w:lang w:val="en-GB" w:eastAsia="zh-CN"/>
        </w:rPr>
        <w:t xml:space="preserve"> area scope via AT command, then the </w:t>
      </w:r>
      <w:r>
        <w:rPr>
          <w:rFonts w:hint="eastAsia"/>
          <w:b/>
          <w:lang w:eastAsia="zh-CN"/>
        </w:rPr>
        <w:t xml:space="preserve">APP </w:t>
      </w:r>
      <w:r>
        <w:rPr>
          <w:b/>
          <w:lang w:val="en-GB" w:eastAsia="zh-CN"/>
        </w:rPr>
        <w:t>layer can start new QoE measurement session when the UE is in</w:t>
      </w:r>
      <w:r>
        <w:rPr>
          <w:rFonts w:hint="eastAsia"/>
          <w:b/>
          <w:lang w:eastAsia="zh-CN"/>
        </w:rPr>
        <w:t>side</w:t>
      </w:r>
      <w:r>
        <w:rPr>
          <w:b/>
          <w:lang w:val="en-GB" w:eastAsia="zh-CN"/>
        </w:rPr>
        <w:t xml:space="preserve"> the area scope. RAN2 needs to send this to SA4 and CT1</w:t>
      </w:r>
      <w:r>
        <w:rPr>
          <w:rFonts w:hint="eastAsia"/>
          <w:b/>
          <w:lang w:eastAsia="zh-CN"/>
        </w:rPr>
        <w:t xml:space="preserve"> if agreed</w:t>
      </w:r>
      <w:r>
        <w:rPr>
          <w:b/>
          <w:lang w:val="en-GB" w:eastAsia="zh-CN"/>
        </w:rPr>
        <w:t>.</w:t>
      </w:r>
    </w:p>
    <w:p w14:paraId="21012D7B" w14:textId="77777777" w:rsidR="00450365" w:rsidRDefault="00000000">
      <w:pPr>
        <w:pStyle w:val="3"/>
      </w:pPr>
      <w:r>
        <w:t>QoE configurations storing in AS layer</w:t>
      </w:r>
    </w:p>
    <w:p w14:paraId="453A9157" w14:textId="5761F14C" w:rsidR="00450365" w:rsidRDefault="00000000">
      <w:pPr>
        <w:rPr>
          <w:rFonts w:eastAsia="等线"/>
          <w:lang w:eastAsia="zh-CN"/>
        </w:rPr>
      </w:pPr>
      <w:r>
        <w:rPr>
          <w:rFonts w:eastAsia="等线"/>
          <w:lang w:eastAsia="zh-CN"/>
        </w:rPr>
        <w:t xml:space="preserve">In the RAN2#123b post email discussion [1], companies discussed some potential QoE configurations that can be stored in the AS layer. </w:t>
      </w:r>
      <w:r>
        <w:rPr>
          <w:rFonts w:eastAsia="等线" w:hint="eastAsia"/>
          <w:lang w:eastAsia="zh-CN"/>
        </w:rPr>
        <w:t>C</w:t>
      </w:r>
      <w:r>
        <w:rPr>
          <w:rFonts w:eastAsia="等线"/>
          <w:lang w:eastAsia="zh-CN"/>
        </w:rPr>
        <w:t xml:space="preserve">ompanies suggest that RVQoE configurations are not required to be stored in the AS layer. </w:t>
      </w:r>
      <w:r>
        <w:rPr>
          <w:rFonts w:eastAsia="等线" w:hint="eastAsia"/>
          <w:lang w:eastAsia="zh-CN"/>
        </w:rPr>
        <w:t>According to</w:t>
      </w:r>
      <w:r>
        <w:rPr>
          <w:rFonts w:eastAsia="等线"/>
          <w:lang w:eastAsia="zh-CN"/>
        </w:rPr>
        <w:t xml:space="preserve"> RAN3 </w:t>
      </w:r>
      <w:r>
        <w:rPr>
          <w:rFonts w:eastAsia="等线" w:hint="eastAsia"/>
          <w:lang w:eastAsia="zh-CN"/>
        </w:rPr>
        <w:t>agreements</w:t>
      </w:r>
      <w:r>
        <w:rPr>
          <w:rFonts w:eastAsia="等线"/>
          <w:lang w:eastAsia="zh-CN"/>
        </w:rPr>
        <w:t xml:space="preserve"> in [3], RAN3 agreed that the gNB needs to be informed the Available RVQoE metrics when the UE moves to connected state. In RAN3’s view, the gNB needs to know which RVQoE configurations the gNB is allowed to measure, so that gNB can sends </w:t>
      </w:r>
      <w:r>
        <w:rPr>
          <w:rFonts w:eastAsia="等线"/>
          <w:lang w:eastAsia="zh-CN"/>
        </w:rPr>
        <w:lastRenderedPageBreak/>
        <w:t xml:space="preserve">RVQoE configurations to collect RVQoE measurements. It’s natural for RAN2 to </w:t>
      </w:r>
      <w:r>
        <w:rPr>
          <w:rFonts w:eastAsia="等线" w:hint="eastAsia"/>
          <w:lang w:eastAsia="zh-CN"/>
        </w:rPr>
        <w:t>support for</w:t>
      </w:r>
      <w:r>
        <w:rPr>
          <w:rFonts w:eastAsia="等线"/>
          <w:lang w:eastAsia="zh-CN"/>
        </w:rPr>
        <w:t xml:space="preserve"> send</w:t>
      </w:r>
      <w:r>
        <w:rPr>
          <w:rFonts w:eastAsia="等线" w:hint="eastAsia"/>
          <w:lang w:eastAsia="zh-CN"/>
        </w:rPr>
        <w:t>ing</w:t>
      </w:r>
      <w:r>
        <w:rPr>
          <w:rFonts w:eastAsia="等线"/>
          <w:lang w:eastAsia="zh-CN"/>
        </w:rPr>
        <w:t xml:space="preserve"> the available RVQoE metrics indications to UE in connected state, and UE can store these indications and sends them to the gNB </w:t>
      </w:r>
      <w:r>
        <w:rPr>
          <w:rFonts w:eastAsia="等线" w:hint="eastAsia"/>
          <w:lang w:eastAsia="zh-CN"/>
        </w:rPr>
        <w:t xml:space="preserve">when UE </w:t>
      </w:r>
      <w:r w:rsidR="00BB02D1">
        <w:rPr>
          <w:rFonts w:eastAsia="等线"/>
          <w:lang w:eastAsia="zh-CN"/>
        </w:rPr>
        <w:t>moves</w:t>
      </w:r>
      <w:r>
        <w:rPr>
          <w:rFonts w:eastAsia="等线"/>
          <w:lang w:eastAsia="zh-CN"/>
        </w:rPr>
        <w:t>to connected state. So, it’s proposed as below:</w:t>
      </w:r>
    </w:p>
    <w:p w14:paraId="72E67F48" w14:textId="37733F00" w:rsidR="00450365" w:rsidRDefault="00000000">
      <w:pPr>
        <w:rPr>
          <w:b/>
          <w:lang w:val="en-GB" w:eastAsia="zh-CN"/>
        </w:rPr>
      </w:pPr>
      <w:r>
        <w:rPr>
          <w:b/>
          <w:lang w:val="en-GB" w:eastAsia="zh-CN"/>
        </w:rPr>
        <w:t xml:space="preserve">Proposal 2: The UE needs to </w:t>
      </w:r>
      <w:r>
        <w:rPr>
          <w:rFonts w:hint="eastAsia"/>
          <w:b/>
          <w:lang w:eastAsia="zh-CN"/>
        </w:rPr>
        <w:t xml:space="preserve">obtain the </w:t>
      </w:r>
      <w:r>
        <w:rPr>
          <w:b/>
          <w:lang w:val="en-GB" w:eastAsia="zh-CN"/>
        </w:rPr>
        <w:t xml:space="preserve">available RVQoE metrics indications from gNB in QoE configuration in RRC_CONNECTED state, then the UE can store the indications in AS layer in idle/inactive state and send them back to gNB </w:t>
      </w:r>
      <w:r>
        <w:rPr>
          <w:rFonts w:hint="eastAsia"/>
          <w:b/>
          <w:lang w:eastAsia="zh-CN"/>
        </w:rPr>
        <w:t xml:space="preserve">when it </w:t>
      </w:r>
      <w:r w:rsidR="00BB02D1">
        <w:rPr>
          <w:b/>
          <w:lang w:eastAsia="zh-CN"/>
        </w:rPr>
        <w:t>moves</w:t>
      </w:r>
      <w:r>
        <w:rPr>
          <w:rFonts w:hint="eastAsia"/>
          <w:b/>
          <w:lang w:eastAsia="zh-CN"/>
        </w:rPr>
        <w:t xml:space="preserve"> into</w:t>
      </w:r>
      <w:r>
        <w:rPr>
          <w:b/>
          <w:lang w:val="en-GB" w:eastAsia="zh-CN"/>
        </w:rPr>
        <w:t xml:space="preserve"> RRC_CONNECTED state.</w:t>
      </w:r>
    </w:p>
    <w:p w14:paraId="0FADF4B4" w14:textId="6D55CD51" w:rsidR="00450365" w:rsidRDefault="00000000">
      <w:pPr>
        <w:rPr>
          <w:rFonts w:eastAsia="等线"/>
          <w:lang w:eastAsia="zh-CN"/>
        </w:rPr>
      </w:pPr>
      <w:r>
        <w:rPr>
          <w:rFonts w:eastAsia="等线"/>
          <w:lang w:eastAsia="zh-CN"/>
        </w:rPr>
        <w:t xml:space="preserve">When UE is in IDLE state, UE may store some QoE configurations in AS layer, UE may also release some QoE configurations </w:t>
      </w:r>
      <w:r>
        <w:rPr>
          <w:rFonts w:eastAsia="等线" w:hint="eastAsia"/>
          <w:lang w:eastAsia="zh-CN"/>
        </w:rPr>
        <w:t xml:space="preserve">when the time </w:t>
      </w:r>
      <w:r>
        <w:rPr>
          <w:rFonts w:eastAsia="等线"/>
          <w:lang w:eastAsia="zh-CN"/>
        </w:rPr>
        <w:t>expire</w:t>
      </w:r>
      <w:r>
        <w:rPr>
          <w:rFonts w:eastAsia="等线" w:hint="eastAsia"/>
          <w:lang w:eastAsia="zh-CN"/>
        </w:rPr>
        <w:t>s</w:t>
      </w:r>
      <w:r>
        <w:rPr>
          <w:rFonts w:eastAsia="等线"/>
          <w:lang w:eastAsia="zh-CN"/>
        </w:rPr>
        <w:t xml:space="preserve"> 48h. As companies support to transmit UE configuration ID to the gNB when </w:t>
      </w:r>
      <w:r>
        <w:rPr>
          <w:rFonts w:eastAsia="等线" w:hint="eastAsia"/>
          <w:lang w:eastAsia="zh-CN"/>
        </w:rPr>
        <w:t xml:space="preserve">it </w:t>
      </w:r>
      <w:r w:rsidR="00BB02D1">
        <w:rPr>
          <w:rFonts w:eastAsia="等线"/>
          <w:lang w:eastAsia="zh-CN"/>
        </w:rPr>
        <w:t>moves to</w:t>
      </w:r>
      <w:r>
        <w:rPr>
          <w:rFonts w:eastAsia="等线" w:hint="eastAsia"/>
          <w:lang w:eastAsia="zh-CN"/>
        </w:rPr>
        <w:t xml:space="preserve"> the</w:t>
      </w:r>
      <w:r>
        <w:rPr>
          <w:rFonts w:eastAsia="等线"/>
          <w:lang w:eastAsia="zh-CN"/>
        </w:rPr>
        <w:t xml:space="preserve"> connected state, the gNB needs to calculate the number of QoE configurations (</w:t>
      </w:r>
      <w:proofErr w:type="gramStart"/>
      <w:r>
        <w:rPr>
          <w:rFonts w:eastAsia="等线"/>
          <w:lang w:eastAsia="zh-CN"/>
        </w:rPr>
        <w:t>e.g.</w:t>
      </w:r>
      <w:proofErr w:type="gramEnd"/>
      <w:r>
        <w:rPr>
          <w:rFonts w:eastAsia="等线"/>
          <w:lang w:eastAsia="zh-CN"/>
        </w:rPr>
        <w:t xml:space="preserve"> count the number of configuration ID) and then configure QoE configurations to the UE to ensure that QoE configurations measured in the UE are no more than 16. </w:t>
      </w:r>
      <w:r>
        <w:rPr>
          <w:rFonts w:eastAsia="等线" w:hint="eastAsia"/>
          <w:lang w:eastAsia="zh-CN"/>
        </w:rPr>
        <w:t>If</w:t>
      </w:r>
      <w:r>
        <w:rPr>
          <w:rFonts w:eastAsia="等线"/>
          <w:lang w:eastAsia="zh-CN"/>
        </w:rPr>
        <w:t xml:space="preserve"> this enhancement</w:t>
      </w:r>
      <w:r>
        <w:rPr>
          <w:rFonts w:eastAsia="等线" w:hint="eastAsia"/>
          <w:lang w:eastAsia="zh-CN"/>
        </w:rPr>
        <w:t xml:space="preserve"> is not supported</w:t>
      </w:r>
      <w:r>
        <w:rPr>
          <w:rFonts w:eastAsia="等线"/>
          <w:lang w:eastAsia="zh-CN"/>
        </w:rPr>
        <w:t>, the gNB may configure more than 16 QoE configurations to the UE, and UE ha</w:t>
      </w:r>
      <w:r>
        <w:rPr>
          <w:rFonts w:eastAsia="等线" w:hint="eastAsia"/>
          <w:lang w:eastAsia="zh-CN"/>
        </w:rPr>
        <w:t>s</w:t>
      </w:r>
      <w:r>
        <w:rPr>
          <w:rFonts w:eastAsia="等线"/>
          <w:lang w:eastAsia="zh-CN"/>
        </w:rPr>
        <w:t xml:space="preserve"> to discard some QoE configurations that it </w:t>
      </w:r>
      <w:r>
        <w:rPr>
          <w:rFonts w:eastAsia="等线" w:hint="eastAsia"/>
          <w:lang w:eastAsia="zh-CN"/>
        </w:rPr>
        <w:t xml:space="preserve">is </w:t>
      </w:r>
      <w:r>
        <w:rPr>
          <w:rFonts w:eastAsia="等线"/>
          <w:lang w:eastAsia="zh-CN"/>
        </w:rPr>
        <w:t>unable to execute. So, it’s proposed as below:</w:t>
      </w:r>
    </w:p>
    <w:p w14:paraId="1F91677F" w14:textId="7BA58A24" w:rsidR="00450365" w:rsidRDefault="00000000">
      <w:pPr>
        <w:rPr>
          <w:b/>
          <w:lang w:val="en-GB" w:eastAsia="zh-CN"/>
        </w:rPr>
      </w:pPr>
      <w:r>
        <w:rPr>
          <w:b/>
          <w:lang w:val="en-GB" w:eastAsia="zh-CN"/>
        </w:rPr>
        <w:t xml:space="preserve">Proposal 3: </w:t>
      </w:r>
      <w:r w:rsidR="002B0E4F">
        <w:rPr>
          <w:b/>
          <w:lang w:val="en-GB" w:eastAsia="zh-CN"/>
        </w:rPr>
        <w:t>The</w:t>
      </w:r>
      <w:r>
        <w:rPr>
          <w:b/>
          <w:lang w:val="en-GB" w:eastAsia="zh-CN"/>
        </w:rPr>
        <w:t xml:space="preserve"> gNB can configure multiple QoE configurations to the UE</w:t>
      </w:r>
      <w:r w:rsidR="002B0E4F">
        <w:rPr>
          <w:b/>
          <w:lang w:val="en-GB" w:eastAsia="zh-CN"/>
        </w:rPr>
        <w:t xml:space="preserve"> only when it receives the IDLE/INACTIVE</w:t>
      </w:r>
      <w:r>
        <w:rPr>
          <w:b/>
          <w:lang w:val="en-GB" w:eastAsia="zh-CN"/>
        </w:rPr>
        <w:t xml:space="preserve"> </w:t>
      </w:r>
      <w:r w:rsidR="002B0E4F">
        <w:rPr>
          <w:b/>
          <w:lang w:val="en-GB" w:eastAsia="zh-CN"/>
        </w:rPr>
        <w:t xml:space="preserve">QoE configurations, </w:t>
      </w:r>
      <w:r>
        <w:rPr>
          <w:rFonts w:hint="eastAsia"/>
          <w:b/>
          <w:lang w:eastAsia="zh-CN"/>
        </w:rPr>
        <w:t>so as to</w:t>
      </w:r>
      <w:r w:rsidR="002142CB">
        <w:rPr>
          <w:b/>
          <w:lang w:eastAsia="zh-CN"/>
        </w:rPr>
        <w:t xml:space="preserve"> </w:t>
      </w:r>
      <w:r>
        <w:rPr>
          <w:b/>
          <w:lang w:val="en-GB" w:eastAsia="zh-CN"/>
        </w:rPr>
        <w:t>ensur</w:t>
      </w:r>
      <w:r>
        <w:rPr>
          <w:rFonts w:hint="eastAsia"/>
          <w:b/>
          <w:lang w:eastAsia="zh-CN"/>
        </w:rPr>
        <w:t>e</w:t>
      </w:r>
      <w:r>
        <w:rPr>
          <w:b/>
          <w:lang w:val="en-GB" w:eastAsia="zh-CN"/>
        </w:rPr>
        <w:t xml:space="preserve"> the number of QoE configurations measured in the UE </w:t>
      </w:r>
      <w:r>
        <w:rPr>
          <w:rFonts w:hint="eastAsia"/>
          <w:b/>
          <w:lang w:eastAsia="zh-CN"/>
        </w:rPr>
        <w:t xml:space="preserve">is </w:t>
      </w:r>
      <w:r>
        <w:rPr>
          <w:b/>
          <w:lang w:val="en-GB" w:eastAsia="zh-CN"/>
        </w:rPr>
        <w:t xml:space="preserve">no </w:t>
      </w:r>
      <w:r>
        <w:rPr>
          <w:rFonts w:hint="eastAsia"/>
          <w:b/>
          <w:lang w:eastAsia="zh-CN"/>
        </w:rPr>
        <w:t>exceeding</w:t>
      </w:r>
      <w:r>
        <w:rPr>
          <w:b/>
          <w:lang w:val="en-GB" w:eastAsia="zh-CN"/>
        </w:rPr>
        <w:t xml:space="preserve"> 16.</w:t>
      </w:r>
    </w:p>
    <w:p w14:paraId="283C3F44" w14:textId="77777777" w:rsidR="00450365" w:rsidRDefault="00000000">
      <w:pPr>
        <w:pStyle w:val="3"/>
      </w:pPr>
      <w:r>
        <w:t>PLMN checking</w:t>
      </w:r>
    </w:p>
    <w:p w14:paraId="2A53DC29" w14:textId="056A846D" w:rsidR="00450365" w:rsidRDefault="00000000">
      <w:pPr>
        <w:rPr>
          <w:rFonts w:eastAsia="等线"/>
          <w:lang w:eastAsia="zh-CN"/>
        </w:rPr>
      </w:pPr>
      <w:r>
        <w:rPr>
          <w:rFonts w:eastAsia="等线"/>
          <w:lang w:eastAsia="zh-CN"/>
        </w:rPr>
        <w:t xml:space="preserve">In the RAN2#123b post email discussion, RAN2 has discussed whether to support PLMN checking. Companies support the motivation </w:t>
      </w:r>
      <w:r>
        <w:rPr>
          <w:rFonts w:eastAsia="等线" w:hint="eastAsia"/>
          <w:lang w:eastAsia="zh-CN"/>
        </w:rPr>
        <w:t>of</w:t>
      </w:r>
      <w:r>
        <w:rPr>
          <w:rFonts w:eastAsia="等线"/>
          <w:lang w:eastAsia="zh-CN"/>
        </w:rPr>
        <w:t xml:space="preserve"> PLMN checking for QoE measurement in idle/inactive state. However, some companies also proposed that PLMN checking may cause big specs impacts to RAN2 and RAN3 if we reuse MDT-based PLMN checking mechanism, such as define plmn-IdentityList in both RAN2 and RAN3 specs, support PLMN checking in all RRC states, etc. Additionally, PLMN checking for QoE is only useful for inter-network roaming scenario, </w:t>
      </w:r>
      <w:r>
        <w:rPr>
          <w:rFonts w:eastAsia="等线" w:hint="eastAsia"/>
          <w:lang w:eastAsia="zh-CN"/>
        </w:rPr>
        <w:t xml:space="preserve">and this scenario </w:t>
      </w:r>
      <w:r>
        <w:rPr>
          <w:rFonts w:eastAsia="等线"/>
          <w:lang w:eastAsia="zh-CN"/>
        </w:rPr>
        <w:t xml:space="preserve">is </w:t>
      </w:r>
      <w:r>
        <w:rPr>
          <w:rFonts w:eastAsia="等线" w:hint="eastAsia"/>
          <w:lang w:eastAsia="zh-CN"/>
        </w:rPr>
        <w:t xml:space="preserve">not included in the scope </w:t>
      </w:r>
      <w:r>
        <w:rPr>
          <w:rFonts w:eastAsia="等线"/>
          <w:lang w:eastAsia="zh-CN"/>
        </w:rPr>
        <w:t xml:space="preserve">of Rel-18 NR QoE </w:t>
      </w:r>
      <w:r>
        <w:rPr>
          <w:rFonts w:eastAsia="等线" w:hint="eastAsia"/>
          <w:lang w:eastAsia="zh-CN"/>
        </w:rPr>
        <w:t>WI</w:t>
      </w:r>
      <w:r>
        <w:rPr>
          <w:rFonts w:eastAsia="等线"/>
          <w:lang w:eastAsia="zh-CN"/>
        </w:rPr>
        <w:t xml:space="preserve">. </w:t>
      </w:r>
      <w:proofErr w:type="gramStart"/>
      <w:r>
        <w:rPr>
          <w:rFonts w:eastAsia="等线" w:hint="eastAsia"/>
          <w:lang w:eastAsia="zh-CN"/>
        </w:rPr>
        <w:t>So</w:t>
      </w:r>
      <w:proofErr w:type="gramEnd"/>
      <w:r>
        <w:rPr>
          <w:rFonts w:eastAsia="等线"/>
          <w:lang w:eastAsia="zh-CN"/>
        </w:rPr>
        <w:t xml:space="preserve"> </w:t>
      </w:r>
      <w:r>
        <w:rPr>
          <w:rFonts w:eastAsia="等线" w:hint="eastAsia"/>
          <w:lang w:eastAsia="zh-CN"/>
        </w:rPr>
        <w:t>it</w:t>
      </w:r>
      <w:r>
        <w:rPr>
          <w:rFonts w:eastAsia="等线"/>
          <w:lang w:eastAsia="zh-CN"/>
        </w:rPr>
        <w:t>’s proposed as below:</w:t>
      </w:r>
    </w:p>
    <w:p w14:paraId="6E31DD2B" w14:textId="26B694AB" w:rsidR="00450365" w:rsidRDefault="00000000">
      <w:pPr>
        <w:rPr>
          <w:b/>
          <w:lang w:val="en-GB" w:eastAsia="zh-CN"/>
        </w:rPr>
      </w:pPr>
      <w:r>
        <w:rPr>
          <w:b/>
          <w:lang w:val="en-GB" w:eastAsia="zh-CN"/>
        </w:rPr>
        <w:t xml:space="preserve">Proposal 4: PLMN checking for QoE in inter-network roaming scenario is </w:t>
      </w:r>
      <w:r>
        <w:rPr>
          <w:rFonts w:hint="eastAsia"/>
          <w:b/>
          <w:lang w:eastAsia="zh-CN"/>
        </w:rPr>
        <w:t>not needed to further discuss in</w:t>
      </w:r>
      <w:r>
        <w:rPr>
          <w:b/>
          <w:lang w:val="en-GB" w:eastAsia="zh-CN"/>
        </w:rPr>
        <w:t xml:space="preserve"> Rel-18 NR QoE WI.</w:t>
      </w:r>
    </w:p>
    <w:p w14:paraId="09FEB761" w14:textId="77777777" w:rsidR="00450365" w:rsidRDefault="00000000">
      <w:pPr>
        <w:pStyle w:val="3"/>
      </w:pPr>
      <w:r>
        <w:t>Multicast QoE</w:t>
      </w:r>
    </w:p>
    <w:p w14:paraId="0BCDC85A" w14:textId="46CEE56F" w:rsidR="00450365" w:rsidRDefault="00000000">
      <w:pPr>
        <w:rPr>
          <w:rFonts w:eastAsia="等线"/>
          <w:lang w:eastAsia="zh-CN"/>
        </w:rPr>
      </w:pPr>
      <w:r>
        <w:rPr>
          <w:rFonts w:eastAsia="等线"/>
          <w:lang w:eastAsia="zh-CN"/>
        </w:rPr>
        <w:t>In the RAN3 LS in [2], RAN3 define</w:t>
      </w:r>
      <w:r>
        <w:rPr>
          <w:rFonts w:eastAsia="等线" w:hint="eastAsia"/>
          <w:lang w:eastAsia="zh-CN"/>
        </w:rPr>
        <w:t>s</w:t>
      </w:r>
      <w:r>
        <w:rPr>
          <w:rFonts w:eastAsia="等线"/>
          <w:lang w:eastAsia="zh-CN"/>
        </w:rPr>
        <w:t xml:space="preserve"> new extensible IEs with “multicast” and “broadcast” in XnAP and NGAP for QMC configuration. However, MBS is </w:t>
      </w:r>
      <w:r>
        <w:rPr>
          <w:rFonts w:eastAsia="等线" w:hint="eastAsia"/>
          <w:lang w:eastAsia="zh-CN"/>
        </w:rPr>
        <w:t xml:space="preserve">agreed to be </w:t>
      </w:r>
      <w:r>
        <w:rPr>
          <w:rFonts w:eastAsia="等线"/>
          <w:lang w:eastAsia="zh-CN"/>
        </w:rPr>
        <w:t>defined as a communication service</w:t>
      </w:r>
      <w:r>
        <w:rPr>
          <w:rFonts w:eastAsia="等线" w:hint="eastAsia"/>
          <w:lang w:eastAsia="zh-CN"/>
        </w:rPr>
        <w:t>.</w:t>
      </w:r>
      <w:r>
        <w:rPr>
          <w:rFonts w:eastAsia="等线"/>
          <w:lang w:eastAsia="zh-CN"/>
        </w:rPr>
        <w:t xml:space="preserve"> UE are configured with QoE configurations only corresponding with VR, MTSI, and streaming type of service. It’s not needed to define such indications to differ MBS broadcast and multicast in Uu interface. So, it’s proposed as below:</w:t>
      </w:r>
    </w:p>
    <w:p w14:paraId="708BDC70" w14:textId="0A44A167" w:rsidR="00450365" w:rsidRDefault="00000000">
      <w:pPr>
        <w:rPr>
          <w:b/>
          <w:lang w:val="en-GB" w:eastAsia="zh-CN"/>
        </w:rPr>
      </w:pPr>
      <w:r>
        <w:rPr>
          <w:b/>
          <w:lang w:val="en-GB" w:eastAsia="zh-CN"/>
        </w:rPr>
        <w:t>Proposal 5: It’s not needed to indicate to the UE on which QoE configuration pertain</w:t>
      </w:r>
      <w:r>
        <w:rPr>
          <w:rFonts w:hint="eastAsia"/>
          <w:b/>
          <w:lang w:eastAsia="zh-CN"/>
        </w:rPr>
        <w:t>s</w:t>
      </w:r>
      <w:r>
        <w:rPr>
          <w:b/>
          <w:lang w:val="en-GB" w:eastAsia="zh-CN"/>
        </w:rPr>
        <w:t xml:space="preserve"> to multicast or broadcast via Uu interface.</w:t>
      </w:r>
    </w:p>
    <w:p w14:paraId="4094BA49" w14:textId="77777777" w:rsidR="00450365" w:rsidRDefault="00000000">
      <w:pPr>
        <w:pStyle w:val="3"/>
      </w:pPr>
      <w:r>
        <w:t>Availability of QoE measurement configurations</w:t>
      </w:r>
    </w:p>
    <w:p w14:paraId="24BB5744" w14:textId="7CBF9403" w:rsidR="00450365" w:rsidRDefault="00000000">
      <w:pPr>
        <w:rPr>
          <w:rFonts w:eastAsia="等线"/>
          <w:lang w:eastAsia="zh-CN"/>
        </w:rPr>
      </w:pPr>
      <w:r>
        <w:rPr>
          <w:rFonts w:eastAsia="等线"/>
          <w:lang w:eastAsia="zh-CN"/>
        </w:rPr>
        <w:t>In the RAN2#123b post email discussion</w:t>
      </w:r>
      <w:r>
        <w:rPr>
          <w:rFonts w:eastAsia="等线" w:hint="eastAsia"/>
          <w:lang w:eastAsia="zh-CN"/>
        </w:rPr>
        <w:t>,</w:t>
      </w:r>
      <w:r>
        <w:rPr>
          <w:rFonts w:eastAsia="等线"/>
          <w:lang w:eastAsia="zh-CN"/>
        </w:rPr>
        <w:t xml:space="preserve"> RAN2 has discussed whether to introduce a new 1-bit indication in msg5 to represent the availability of QoE measurement configurations stored in the UE. Companies suggest to wait for the conclusion of IDLE/INACTIVE QoE configurations retrieval procedure. For example, if msg5 can contains QoE configuration instance, then 1-bit indication is not needed. If gNB retrieve QoE configurations via QoE measurement reporting procedure, then 1-bit indication is needed. Due to msg5 cannot contains too much QoE configurations like area scope info, reference ID, so </w:t>
      </w:r>
      <w:r>
        <w:rPr>
          <w:rFonts w:eastAsia="等线"/>
          <w:lang w:eastAsia="zh-CN"/>
        </w:rPr>
        <w:lastRenderedPageBreak/>
        <w:t xml:space="preserve">retrieving QoE configurations via QoE measurement reporting procedure is the best </w:t>
      </w:r>
      <w:r>
        <w:rPr>
          <w:rFonts w:eastAsia="等线" w:hint="eastAsia"/>
          <w:lang w:eastAsia="zh-CN"/>
        </w:rPr>
        <w:t xml:space="preserve">solution </w:t>
      </w:r>
      <w:r>
        <w:rPr>
          <w:rFonts w:eastAsia="等线"/>
          <w:lang w:eastAsia="zh-CN"/>
        </w:rPr>
        <w:t>and then 1-bit indication is needed</w:t>
      </w:r>
      <w:r>
        <w:rPr>
          <w:rFonts w:eastAsia="等线" w:hint="eastAsia"/>
          <w:lang w:eastAsia="zh-CN"/>
        </w:rPr>
        <w:t xml:space="preserve"> to support</w:t>
      </w:r>
      <w:r>
        <w:rPr>
          <w:rFonts w:eastAsia="等线"/>
          <w:lang w:eastAsia="zh-CN"/>
        </w:rPr>
        <w:t>. It’s proposed as below:</w:t>
      </w:r>
    </w:p>
    <w:p w14:paraId="420F8FE3" w14:textId="77777777" w:rsidR="00450365" w:rsidRDefault="00000000">
      <w:pPr>
        <w:rPr>
          <w:b/>
          <w:lang w:val="en-GB" w:eastAsia="zh-CN"/>
        </w:rPr>
      </w:pPr>
      <w:r>
        <w:rPr>
          <w:b/>
          <w:lang w:val="en-GB" w:eastAsia="zh-CN"/>
        </w:rPr>
        <w:t>Proposal 6: RAN2 need to introduce a 1-bit indication in msg5 to represent the availability of QoE measurement configurations stored in the UE if QoE measurement reporting procedure is used for IDLE/INACTIVE QoE configurations retrieving.</w:t>
      </w:r>
    </w:p>
    <w:p w14:paraId="6A0FDC8A" w14:textId="77777777" w:rsidR="00450365" w:rsidRDefault="00000000">
      <w:pPr>
        <w:pStyle w:val="1"/>
      </w:pPr>
      <w:bookmarkStart w:id="2" w:name="_Toc242573360"/>
      <w:r>
        <w:t>Summary</w:t>
      </w:r>
      <w:bookmarkEnd w:id="2"/>
    </w:p>
    <w:p w14:paraId="7D8C9B9B" w14:textId="77777777" w:rsidR="00450365" w:rsidRDefault="00000000">
      <w:bookmarkStart w:id="3" w:name="_Toc242573361"/>
      <w:r>
        <w:t>RAN2 is kindly asked to discuss the following proposals:</w:t>
      </w:r>
    </w:p>
    <w:p w14:paraId="15A394A4" w14:textId="34580A0D" w:rsidR="00450365" w:rsidRDefault="002142CB">
      <w:pPr>
        <w:rPr>
          <w:b/>
          <w:lang w:val="en-GB" w:eastAsia="zh-CN"/>
        </w:rPr>
      </w:pPr>
      <w:r>
        <w:rPr>
          <w:b/>
          <w:lang w:val="en-GB" w:eastAsia="zh-CN"/>
        </w:rPr>
        <w:t xml:space="preserve">Proposal 1: AS layer need to explicitly inform APP layer whether the UE is currently inside </w:t>
      </w:r>
      <w:r>
        <w:rPr>
          <w:rFonts w:hint="eastAsia"/>
          <w:b/>
          <w:lang w:eastAsia="zh-CN"/>
        </w:rPr>
        <w:t xml:space="preserve">the </w:t>
      </w:r>
      <w:r>
        <w:rPr>
          <w:b/>
          <w:lang w:val="en-GB" w:eastAsia="zh-CN"/>
        </w:rPr>
        <w:t>area scope or out of</w:t>
      </w:r>
      <w:r>
        <w:rPr>
          <w:rFonts w:hint="eastAsia"/>
          <w:b/>
          <w:lang w:eastAsia="zh-CN"/>
        </w:rPr>
        <w:t xml:space="preserve"> the</w:t>
      </w:r>
      <w:r>
        <w:rPr>
          <w:b/>
          <w:lang w:val="en-GB" w:eastAsia="zh-CN"/>
        </w:rPr>
        <w:t xml:space="preserve"> area scope via AT command, then the </w:t>
      </w:r>
      <w:r>
        <w:rPr>
          <w:rFonts w:hint="eastAsia"/>
          <w:b/>
          <w:lang w:eastAsia="zh-CN"/>
        </w:rPr>
        <w:t xml:space="preserve">APP </w:t>
      </w:r>
      <w:r>
        <w:rPr>
          <w:b/>
          <w:lang w:val="en-GB" w:eastAsia="zh-CN"/>
        </w:rPr>
        <w:t>layer can start new QoE measurement session when the UE is in</w:t>
      </w:r>
      <w:r>
        <w:rPr>
          <w:rFonts w:hint="eastAsia"/>
          <w:b/>
          <w:lang w:eastAsia="zh-CN"/>
        </w:rPr>
        <w:t>side</w:t>
      </w:r>
      <w:r>
        <w:rPr>
          <w:b/>
          <w:lang w:val="en-GB" w:eastAsia="zh-CN"/>
        </w:rPr>
        <w:t xml:space="preserve"> the area scope. RAN2 needs to send this to SA4 and CT1</w:t>
      </w:r>
      <w:r>
        <w:rPr>
          <w:rFonts w:hint="eastAsia"/>
          <w:b/>
          <w:lang w:eastAsia="zh-CN"/>
        </w:rPr>
        <w:t xml:space="preserve"> if agreed</w:t>
      </w:r>
      <w:r>
        <w:rPr>
          <w:b/>
          <w:lang w:val="en-GB" w:eastAsia="zh-CN"/>
        </w:rPr>
        <w:t>.</w:t>
      </w:r>
    </w:p>
    <w:p w14:paraId="2FF75526" w14:textId="77777777" w:rsidR="002142CB" w:rsidRDefault="002142CB" w:rsidP="002142CB">
      <w:pPr>
        <w:rPr>
          <w:b/>
          <w:lang w:val="en-GB" w:eastAsia="zh-CN"/>
        </w:rPr>
      </w:pPr>
      <w:r>
        <w:rPr>
          <w:b/>
          <w:lang w:val="en-GB" w:eastAsia="zh-CN"/>
        </w:rPr>
        <w:t xml:space="preserve">Proposal 2: The UE needs to </w:t>
      </w:r>
      <w:r>
        <w:rPr>
          <w:rFonts w:hint="eastAsia"/>
          <w:b/>
          <w:lang w:eastAsia="zh-CN"/>
        </w:rPr>
        <w:t xml:space="preserve">obtain the </w:t>
      </w:r>
      <w:r>
        <w:rPr>
          <w:b/>
          <w:lang w:val="en-GB" w:eastAsia="zh-CN"/>
        </w:rPr>
        <w:t xml:space="preserve">available RVQoE metrics indications from gNB in QoE configuration in RRC_CONNECTED state, then the UE can store the indications in AS layer in idle/inactive state and send them back to gNB </w:t>
      </w:r>
      <w:r>
        <w:rPr>
          <w:rFonts w:hint="eastAsia"/>
          <w:b/>
          <w:lang w:eastAsia="zh-CN"/>
        </w:rPr>
        <w:t xml:space="preserve">when it </w:t>
      </w:r>
      <w:r>
        <w:rPr>
          <w:b/>
          <w:lang w:eastAsia="zh-CN"/>
        </w:rPr>
        <w:t>moves</w:t>
      </w:r>
      <w:r>
        <w:rPr>
          <w:rFonts w:hint="eastAsia"/>
          <w:b/>
          <w:lang w:eastAsia="zh-CN"/>
        </w:rPr>
        <w:t xml:space="preserve"> into</w:t>
      </w:r>
      <w:r>
        <w:rPr>
          <w:b/>
          <w:lang w:val="en-GB" w:eastAsia="zh-CN"/>
        </w:rPr>
        <w:t xml:space="preserve"> RRC_CONNECTED state.</w:t>
      </w:r>
    </w:p>
    <w:p w14:paraId="3357FF28" w14:textId="77777777" w:rsidR="000B18DA" w:rsidRDefault="000B18DA" w:rsidP="000B18DA">
      <w:pPr>
        <w:rPr>
          <w:b/>
          <w:lang w:val="en-GB" w:eastAsia="zh-CN"/>
        </w:rPr>
      </w:pPr>
      <w:r>
        <w:rPr>
          <w:b/>
          <w:lang w:val="en-GB" w:eastAsia="zh-CN"/>
        </w:rPr>
        <w:t xml:space="preserve">Proposal 3: The gNB can configure multiple QoE configurations to the UE only when it receives the IDLE/INACTIVE QoE configurations, </w:t>
      </w:r>
      <w:r>
        <w:rPr>
          <w:rFonts w:hint="eastAsia"/>
          <w:b/>
          <w:lang w:eastAsia="zh-CN"/>
        </w:rPr>
        <w:t>so as to</w:t>
      </w:r>
      <w:r>
        <w:rPr>
          <w:b/>
          <w:lang w:eastAsia="zh-CN"/>
        </w:rPr>
        <w:t xml:space="preserve"> </w:t>
      </w:r>
      <w:r>
        <w:rPr>
          <w:b/>
          <w:lang w:val="en-GB" w:eastAsia="zh-CN"/>
        </w:rPr>
        <w:t>ensur</w:t>
      </w:r>
      <w:r>
        <w:rPr>
          <w:rFonts w:hint="eastAsia"/>
          <w:b/>
          <w:lang w:eastAsia="zh-CN"/>
        </w:rPr>
        <w:t>e</w:t>
      </w:r>
      <w:r>
        <w:rPr>
          <w:b/>
          <w:lang w:val="en-GB" w:eastAsia="zh-CN"/>
        </w:rPr>
        <w:t xml:space="preserve"> the number of QoE configurations measured in the UE </w:t>
      </w:r>
      <w:r>
        <w:rPr>
          <w:rFonts w:hint="eastAsia"/>
          <w:b/>
          <w:lang w:eastAsia="zh-CN"/>
        </w:rPr>
        <w:t xml:space="preserve">is </w:t>
      </w:r>
      <w:r>
        <w:rPr>
          <w:b/>
          <w:lang w:val="en-GB" w:eastAsia="zh-CN"/>
        </w:rPr>
        <w:t xml:space="preserve">no </w:t>
      </w:r>
      <w:r>
        <w:rPr>
          <w:rFonts w:hint="eastAsia"/>
          <w:b/>
          <w:lang w:eastAsia="zh-CN"/>
        </w:rPr>
        <w:t>exceeding</w:t>
      </w:r>
      <w:r>
        <w:rPr>
          <w:b/>
          <w:lang w:val="en-GB" w:eastAsia="zh-CN"/>
        </w:rPr>
        <w:t xml:space="preserve"> 16.</w:t>
      </w:r>
    </w:p>
    <w:p w14:paraId="2978A66B" w14:textId="77777777" w:rsidR="002142CB" w:rsidRDefault="002142CB" w:rsidP="002142CB">
      <w:pPr>
        <w:rPr>
          <w:b/>
          <w:lang w:val="en-GB" w:eastAsia="zh-CN"/>
        </w:rPr>
      </w:pPr>
      <w:r>
        <w:rPr>
          <w:b/>
          <w:lang w:val="en-GB" w:eastAsia="zh-CN"/>
        </w:rPr>
        <w:t xml:space="preserve">Proposal 4: PLMN checking for QoE in inter-network roaming scenario is </w:t>
      </w:r>
      <w:r>
        <w:rPr>
          <w:rFonts w:hint="eastAsia"/>
          <w:b/>
          <w:lang w:eastAsia="zh-CN"/>
        </w:rPr>
        <w:t>not needed to further discuss in</w:t>
      </w:r>
      <w:r>
        <w:rPr>
          <w:b/>
          <w:lang w:val="en-GB" w:eastAsia="zh-CN"/>
        </w:rPr>
        <w:t xml:space="preserve"> Rel-18 NR QoE WI.</w:t>
      </w:r>
    </w:p>
    <w:p w14:paraId="38F67940" w14:textId="77777777" w:rsidR="002142CB" w:rsidRDefault="002142CB" w:rsidP="002142CB">
      <w:pPr>
        <w:rPr>
          <w:b/>
          <w:lang w:val="en-GB" w:eastAsia="zh-CN"/>
        </w:rPr>
      </w:pPr>
      <w:r>
        <w:rPr>
          <w:b/>
          <w:lang w:val="en-GB" w:eastAsia="zh-CN"/>
        </w:rPr>
        <w:t>Proposal 5: It’s not needed to indicate to the UE on which QoE configuration pertain</w:t>
      </w:r>
      <w:r>
        <w:rPr>
          <w:rFonts w:hint="eastAsia"/>
          <w:b/>
          <w:lang w:eastAsia="zh-CN"/>
        </w:rPr>
        <w:t>s</w:t>
      </w:r>
      <w:r>
        <w:rPr>
          <w:b/>
          <w:lang w:val="en-GB" w:eastAsia="zh-CN"/>
        </w:rPr>
        <w:t xml:space="preserve"> to multicast or broadcast via Uu interface.</w:t>
      </w:r>
    </w:p>
    <w:p w14:paraId="2F1BA9B2" w14:textId="77A8BA77" w:rsidR="002142CB" w:rsidRPr="002142CB" w:rsidRDefault="002142CB">
      <w:pPr>
        <w:rPr>
          <w:b/>
          <w:lang w:val="en-GB" w:eastAsia="zh-CN"/>
        </w:rPr>
      </w:pPr>
      <w:r>
        <w:rPr>
          <w:b/>
          <w:lang w:val="en-GB" w:eastAsia="zh-CN"/>
        </w:rPr>
        <w:t>Proposal 6: RAN2 need to introduce a 1-bit indication in msg5 to represent the availability of QoE measurement configurations stored in the UE if QoE measurement reporting procedure is used for IDLE/INACTIVE QoE configurations retrieving.</w:t>
      </w:r>
    </w:p>
    <w:p w14:paraId="3F8A1F0F" w14:textId="77777777" w:rsidR="00450365" w:rsidRDefault="00000000">
      <w:pPr>
        <w:pStyle w:val="1"/>
      </w:pPr>
      <w:r>
        <w:t>References</w:t>
      </w:r>
      <w:bookmarkEnd w:id="3"/>
    </w:p>
    <w:p w14:paraId="30D6673B" w14:textId="77777777" w:rsidR="00450365" w:rsidRDefault="00000000">
      <w:pPr>
        <w:numPr>
          <w:ilvl w:val="0"/>
          <w:numId w:val="3"/>
        </w:numPr>
        <w:overflowPunct w:val="0"/>
        <w:autoSpaceDE w:val="0"/>
        <w:autoSpaceDN w:val="0"/>
        <w:adjustRightInd w:val="0"/>
        <w:spacing w:after="180" w:line="240" w:lineRule="auto"/>
        <w:textAlignment w:val="baseline"/>
        <w:rPr>
          <w:rFonts w:cs="Arial"/>
          <w:lang w:val="de-DE"/>
        </w:rPr>
      </w:pPr>
      <w:r>
        <w:rPr>
          <w:rFonts w:cs="Arial"/>
          <w:lang w:val="de-DE"/>
        </w:rPr>
        <w:t>R2-2311869 [Post123bis][616][QoE] 38.300 CR update and open issues (China Unicom)</w:t>
      </w:r>
    </w:p>
    <w:p w14:paraId="2C4301AD" w14:textId="77777777" w:rsidR="00450365" w:rsidRDefault="00000000">
      <w:pPr>
        <w:numPr>
          <w:ilvl w:val="0"/>
          <w:numId w:val="3"/>
        </w:numPr>
        <w:overflowPunct w:val="0"/>
        <w:autoSpaceDE w:val="0"/>
        <w:autoSpaceDN w:val="0"/>
        <w:adjustRightInd w:val="0"/>
        <w:spacing w:after="180" w:line="240" w:lineRule="auto"/>
        <w:textAlignment w:val="baseline"/>
        <w:rPr>
          <w:rFonts w:cs="Arial"/>
          <w:lang w:val="de-DE"/>
        </w:rPr>
      </w:pPr>
      <w:r>
        <w:rPr>
          <w:rFonts w:cs="Arial"/>
          <w:lang w:val="de-DE"/>
        </w:rPr>
        <w:t>R2-2311731 Reply LS on MBS communication service (R3-235913; contact: Huawei)</w:t>
      </w:r>
    </w:p>
    <w:p w14:paraId="21A40904" w14:textId="77777777" w:rsidR="00450365" w:rsidRDefault="00000000">
      <w:pPr>
        <w:numPr>
          <w:ilvl w:val="0"/>
          <w:numId w:val="3"/>
        </w:numPr>
        <w:overflowPunct w:val="0"/>
        <w:autoSpaceDE w:val="0"/>
        <w:autoSpaceDN w:val="0"/>
        <w:adjustRightInd w:val="0"/>
        <w:spacing w:after="180" w:line="240" w:lineRule="auto"/>
        <w:textAlignment w:val="baseline"/>
        <w:rPr>
          <w:rFonts w:cs="Arial"/>
          <w:lang w:val="de-DE"/>
        </w:rPr>
      </w:pPr>
      <w:r>
        <w:rPr>
          <w:rFonts w:cs="Arial"/>
          <w:lang w:val="de-DE"/>
        </w:rPr>
        <w:t>RAN3_121bis_agenda_20231013_EOM</w:t>
      </w:r>
    </w:p>
    <w:p w14:paraId="2CFA96A7" w14:textId="77777777" w:rsidR="00450365" w:rsidRDefault="00000000">
      <w:pPr>
        <w:numPr>
          <w:ilvl w:val="0"/>
          <w:numId w:val="3"/>
        </w:numPr>
        <w:overflowPunct w:val="0"/>
        <w:autoSpaceDE w:val="0"/>
        <w:autoSpaceDN w:val="0"/>
        <w:adjustRightInd w:val="0"/>
        <w:spacing w:after="180" w:line="240" w:lineRule="auto"/>
        <w:textAlignment w:val="baseline"/>
        <w:rPr>
          <w:rFonts w:cs="Arial"/>
          <w:lang w:val="de-DE"/>
        </w:rPr>
      </w:pPr>
      <w:r>
        <w:rPr>
          <w:rFonts w:cs="Arial"/>
          <w:lang w:val="de-DE"/>
        </w:rPr>
        <w:t>R2-2311730 Reply LS on Priority information and NR-DC (R3-235912; contact: Huawei)</w:t>
      </w:r>
    </w:p>
    <w:sectPr w:rsidR="00450365">
      <w:foot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C7C8E5" w14:textId="77777777" w:rsidR="00BA3261" w:rsidRDefault="00BA3261">
      <w:pPr>
        <w:spacing w:line="240" w:lineRule="auto"/>
      </w:pPr>
      <w:r>
        <w:separator/>
      </w:r>
    </w:p>
  </w:endnote>
  <w:endnote w:type="continuationSeparator" w:id="0">
    <w:p w14:paraId="0C94CEDF" w14:textId="77777777" w:rsidR="00BA3261" w:rsidRDefault="00BA326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G Times (WN)">
    <w:altName w:val="宋体"/>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E504CA" w14:textId="77777777" w:rsidR="00450365" w:rsidRDefault="00000000">
    <w:pPr>
      <w:pStyle w:val="ab"/>
      <w:jc w:val="center"/>
    </w:pPr>
    <w:r>
      <w:rPr>
        <w:rStyle w:val="af3"/>
      </w:rPr>
      <w:fldChar w:fldCharType="begin"/>
    </w:r>
    <w:r>
      <w:rPr>
        <w:rStyle w:val="af3"/>
      </w:rPr>
      <w:instrText xml:space="preserve"> PAGE </w:instrText>
    </w:r>
    <w:r>
      <w:rPr>
        <w:rStyle w:val="af3"/>
      </w:rPr>
      <w:fldChar w:fldCharType="separate"/>
    </w:r>
    <w:r>
      <w:rPr>
        <w:rStyle w:val="af3"/>
      </w:rPr>
      <w:t>3</w:t>
    </w:r>
    <w:r>
      <w:rPr>
        <w:rStyle w:val="af3"/>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E13DAF" w14:textId="77777777" w:rsidR="00BA3261" w:rsidRDefault="00BA3261">
      <w:pPr>
        <w:spacing w:after="0"/>
      </w:pPr>
      <w:r>
        <w:separator/>
      </w:r>
    </w:p>
  </w:footnote>
  <w:footnote w:type="continuationSeparator" w:id="0">
    <w:p w14:paraId="39694D7C" w14:textId="77777777" w:rsidR="00BA3261" w:rsidRDefault="00BA326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6010ADE"/>
    <w:multiLevelType w:val="multilevel"/>
    <w:tmpl w:val="36010ADE"/>
    <w:lvl w:ilvl="0">
      <w:start w:val="1"/>
      <w:numFmt w:val="decimal"/>
      <w:lvlText w:val="[%1]"/>
      <w:lvlJc w:val="left"/>
      <w:pPr>
        <w:tabs>
          <w:tab w:val="left" w:pos="360"/>
        </w:tabs>
        <w:ind w:left="357" w:hanging="357"/>
      </w:pPr>
      <w:rPr>
        <w:rFonts w:hint="default"/>
        <w:i w:val="0"/>
      </w:r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1" w15:restartNumberingAfterBreak="0">
    <w:nsid w:val="50BA264E"/>
    <w:multiLevelType w:val="multilevel"/>
    <w:tmpl w:val="50BA264E"/>
    <w:lvl w:ilvl="0">
      <w:start w:val="1"/>
      <w:numFmt w:val="decimal"/>
      <w:pStyle w:val="1"/>
      <w:lvlText w:val="%1"/>
      <w:lvlJc w:val="left"/>
      <w:pPr>
        <w:tabs>
          <w:tab w:val="left" w:pos="432"/>
        </w:tabs>
        <w:ind w:left="432" w:hanging="432"/>
      </w:pPr>
      <w:rPr>
        <w:rFonts w:hint="default"/>
        <w:b/>
        <w:lang w:val="en-GB"/>
      </w:rPr>
    </w:lvl>
    <w:lvl w:ilvl="1">
      <w:start w:val="1"/>
      <w:numFmt w:val="decimal"/>
      <w:pStyle w:val="2"/>
      <w:lvlText w:val="%1.%2"/>
      <w:lvlJc w:val="left"/>
      <w:pPr>
        <w:tabs>
          <w:tab w:val="left" w:pos="763"/>
        </w:tabs>
        <w:ind w:left="763" w:hanging="576"/>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302123759">
    <w:abstractNumId w:val="1"/>
  </w:num>
  <w:num w:numId="2" w16cid:durableId="210701336">
    <w:abstractNumId w:val="2"/>
  </w:num>
  <w:num w:numId="3" w16cid:durableId="75039187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DE3NTEyYzUyZWFmNjJhYzE2ODgzNzAyMTJlZWJiNTUifQ=="/>
  </w:docVars>
  <w:rsids>
    <w:rsidRoot w:val="00104C28"/>
    <w:rsid w:val="00000273"/>
    <w:rsid w:val="000006F6"/>
    <w:rsid w:val="000009F6"/>
    <w:rsid w:val="00001137"/>
    <w:rsid w:val="00001770"/>
    <w:rsid w:val="000028DD"/>
    <w:rsid w:val="0000311A"/>
    <w:rsid w:val="00003465"/>
    <w:rsid w:val="0000455C"/>
    <w:rsid w:val="0000485C"/>
    <w:rsid w:val="000057DB"/>
    <w:rsid w:val="000059B7"/>
    <w:rsid w:val="00005BAC"/>
    <w:rsid w:val="000060A7"/>
    <w:rsid w:val="00006CE2"/>
    <w:rsid w:val="00007730"/>
    <w:rsid w:val="0001045F"/>
    <w:rsid w:val="00011902"/>
    <w:rsid w:val="00011E6B"/>
    <w:rsid w:val="00012153"/>
    <w:rsid w:val="00012285"/>
    <w:rsid w:val="00013868"/>
    <w:rsid w:val="00013C93"/>
    <w:rsid w:val="00013D26"/>
    <w:rsid w:val="00016917"/>
    <w:rsid w:val="00016A3A"/>
    <w:rsid w:val="0001774D"/>
    <w:rsid w:val="00020287"/>
    <w:rsid w:val="0002041C"/>
    <w:rsid w:val="00020F07"/>
    <w:rsid w:val="00020FD3"/>
    <w:rsid w:val="00020FFE"/>
    <w:rsid w:val="0002132D"/>
    <w:rsid w:val="00021446"/>
    <w:rsid w:val="0002181B"/>
    <w:rsid w:val="00022928"/>
    <w:rsid w:val="00022B2E"/>
    <w:rsid w:val="00022C47"/>
    <w:rsid w:val="000234B6"/>
    <w:rsid w:val="00024223"/>
    <w:rsid w:val="000247C6"/>
    <w:rsid w:val="00024A82"/>
    <w:rsid w:val="00025C43"/>
    <w:rsid w:val="00026BB9"/>
    <w:rsid w:val="00026DD2"/>
    <w:rsid w:val="00027118"/>
    <w:rsid w:val="00027698"/>
    <w:rsid w:val="00027BEA"/>
    <w:rsid w:val="00027C57"/>
    <w:rsid w:val="000306C0"/>
    <w:rsid w:val="000313E3"/>
    <w:rsid w:val="00031C5C"/>
    <w:rsid w:val="00031D4B"/>
    <w:rsid w:val="00034099"/>
    <w:rsid w:val="000343D3"/>
    <w:rsid w:val="000346E9"/>
    <w:rsid w:val="0003547B"/>
    <w:rsid w:val="00035A4E"/>
    <w:rsid w:val="000362AC"/>
    <w:rsid w:val="000362CF"/>
    <w:rsid w:val="00036B57"/>
    <w:rsid w:val="00037FCD"/>
    <w:rsid w:val="0004162A"/>
    <w:rsid w:val="00042CEE"/>
    <w:rsid w:val="00044ACC"/>
    <w:rsid w:val="00044BCA"/>
    <w:rsid w:val="0004556C"/>
    <w:rsid w:val="000458AD"/>
    <w:rsid w:val="000464BA"/>
    <w:rsid w:val="00046770"/>
    <w:rsid w:val="00046BE2"/>
    <w:rsid w:val="0004760F"/>
    <w:rsid w:val="000477A9"/>
    <w:rsid w:val="00047A5B"/>
    <w:rsid w:val="00047A6F"/>
    <w:rsid w:val="00050582"/>
    <w:rsid w:val="00050B30"/>
    <w:rsid w:val="0005222E"/>
    <w:rsid w:val="00053D0A"/>
    <w:rsid w:val="00054991"/>
    <w:rsid w:val="00054EDE"/>
    <w:rsid w:val="000552FA"/>
    <w:rsid w:val="000559F7"/>
    <w:rsid w:val="0005608C"/>
    <w:rsid w:val="0005707A"/>
    <w:rsid w:val="00060527"/>
    <w:rsid w:val="0006078D"/>
    <w:rsid w:val="00060834"/>
    <w:rsid w:val="00061160"/>
    <w:rsid w:val="000615CA"/>
    <w:rsid w:val="00061674"/>
    <w:rsid w:val="0006264B"/>
    <w:rsid w:val="000627CD"/>
    <w:rsid w:val="000635F0"/>
    <w:rsid w:val="00063686"/>
    <w:rsid w:val="000636E0"/>
    <w:rsid w:val="00064E2F"/>
    <w:rsid w:val="0006640F"/>
    <w:rsid w:val="000677EA"/>
    <w:rsid w:val="00067937"/>
    <w:rsid w:val="00070C3F"/>
    <w:rsid w:val="00073BAB"/>
    <w:rsid w:val="00073C09"/>
    <w:rsid w:val="000748BE"/>
    <w:rsid w:val="000754F8"/>
    <w:rsid w:val="0007655C"/>
    <w:rsid w:val="0007673B"/>
    <w:rsid w:val="00076AAC"/>
    <w:rsid w:val="00076E60"/>
    <w:rsid w:val="0007719E"/>
    <w:rsid w:val="00077206"/>
    <w:rsid w:val="0007742F"/>
    <w:rsid w:val="000775FC"/>
    <w:rsid w:val="00077873"/>
    <w:rsid w:val="00077F3F"/>
    <w:rsid w:val="00080B58"/>
    <w:rsid w:val="00080D29"/>
    <w:rsid w:val="00081027"/>
    <w:rsid w:val="00081A04"/>
    <w:rsid w:val="00081BF4"/>
    <w:rsid w:val="00082BC1"/>
    <w:rsid w:val="00082E03"/>
    <w:rsid w:val="000831FC"/>
    <w:rsid w:val="00083CCF"/>
    <w:rsid w:val="00083F82"/>
    <w:rsid w:val="000844B5"/>
    <w:rsid w:val="00085075"/>
    <w:rsid w:val="00085FC2"/>
    <w:rsid w:val="0008686B"/>
    <w:rsid w:val="00086B9F"/>
    <w:rsid w:val="00086CBC"/>
    <w:rsid w:val="00087173"/>
    <w:rsid w:val="00087F8E"/>
    <w:rsid w:val="0009147A"/>
    <w:rsid w:val="00091AE6"/>
    <w:rsid w:val="00092079"/>
    <w:rsid w:val="00094FB7"/>
    <w:rsid w:val="0009559E"/>
    <w:rsid w:val="00095791"/>
    <w:rsid w:val="00095F52"/>
    <w:rsid w:val="0009603A"/>
    <w:rsid w:val="0009646F"/>
    <w:rsid w:val="0009666D"/>
    <w:rsid w:val="000967EE"/>
    <w:rsid w:val="000972AC"/>
    <w:rsid w:val="00097F77"/>
    <w:rsid w:val="000A1986"/>
    <w:rsid w:val="000A1D78"/>
    <w:rsid w:val="000A1DFC"/>
    <w:rsid w:val="000A20C6"/>
    <w:rsid w:val="000A20E0"/>
    <w:rsid w:val="000A248B"/>
    <w:rsid w:val="000A2C8C"/>
    <w:rsid w:val="000A3103"/>
    <w:rsid w:val="000A3340"/>
    <w:rsid w:val="000A3608"/>
    <w:rsid w:val="000A360E"/>
    <w:rsid w:val="000A5299"/>
    <w:rsid w:val="000A5B89"/>
    <w:rsid w:val="000A625C"/>
    <w:rsid w:val="000A7088"/>
    <w:rsid w:val="000A7328"/>
    <w:rsid w:val="000A787E"/>
    <w:rsid w:val="000A7F47"/>
    <w:rsid w:val="000B17F6"/>
    <w:rsid w:val="000B1896"/>
    <w:rsid w:val="000B18DA"/>
    <w:rsid w:val="000B1C57"/>
    <w:rsid w:val="000B3724"/>
    <w:rsid w:val="000B3B6B"/>
    <w:rsid w:val="000B47D4"/>
    <w:rsid w:val="000B47F5"/>
    <w:rsid w:val="000B4B53"/>
    <w:rsid w:val="000B4E91"/>
    <w:rsid w:val="000B6575"/>
    <w:rsid w:val="000B6CAB"/>
    <w:rsid w:val="000B6F01"/>
    <w:rsid w:val="000B73E2"/>
    <w:rsid w:val="000B7678"/>
    <w:rsid w:val="000B7781"/>
    <w:rsid w:val="000B78F0"/>
    <w:rsid w:val="000B7C57"/>
    <w:rsid w:val="000C034B"/>
    <w:rsid w:val="000C0661"/>
    <w:rsid w:val="000C07B7"/>
    <w:rsid w:val="000C0AFF"/>
    <w:rsid w:val="000C0B8F"/>
    <w:rsid w:val="000C0CD6"/>
    <w:rsid w:val="000C0D9F"/>
    <w:rsid w:val="000C1968"/>
    <w:rsid w:val="000C21E7"/>
    <w:rsid w:val="000C24F4"/>
    <w:rsid w:val="000C27F4"/>
    <w:rsid w:val="000C2C10"/>
    <w:rsid w:val="000C3430"/>
    <w:rsid w:val="000C4330"/>
    <w:rsid w:val="000C5310"/>
    <w:rsid w:val="000C55AA"/>
    <w:rsid w:val="000C6C63"/>
    <w:rsid w:val="000C6DEF"/>
    <w:rsid w:val="000C75DF"/>
    <w:rsid w:val="000D0274"/>
    <w:rsid w:val="000D02FC"/>
    <w:rsid w:val="000D1253"/>
    <w:rsid w:val="000D1317"/>
    <w:rsid w:val="000D1536"/>
    <w:rsid w:val="000D1583"/>
    <w:rsid w:val="000D28B7"/>
    <w:rsid w:val="000D3F81"/>
    <w:rsid w:val="000D40AC"/>
    <w:rsid w:val="000D44D7"/>
    <w:rsid w:val="000D5183"/>
    <w:rsid w:val="000D61C5"/>
    <w:rsid w:val="000D6243"/>
    <w:rsid w:val="000D6FAB"/>
    <w:rsid w:val="000D78FA"/>
    <w:rsid w:val="000E064E"/>
    <w:rsid w:val="000E0D95"/>
    <w:rsid w:val="000E1869"/>
    <w:rsid w:val="000E241E"/>
    <w:rsid w:val="000E2D81"/>
    <w:rsid w:val="000E2DC8"/>
    <w:rsid w:val="000E3B7B"/>
    <w:rsid w:val="000E47A9"/>
    <w:rsid w:val="000E4A36"/>
    <w:rsid w:val="000E5791"/>
    <w:rsid w:val="000E6FD5"/>
    <w:rsid w:val="000E7839"/>
    <w:rsid w:val="000E7EE2"/>
    <w:rsid w:val="000F01B4"/>
    <w:rsid w:val="000F07ED"/>
    <w:rsid w:val="000F0838"/>
    <w:rsid w:val="000F217D"/>
    <w:rsid w:val="000F22B1"/>
    <w:rsid w:val="000F2A3C"/>
    <w:rsid w:val="000F2D1B"/>
    <w:rsid w:val="000F2F3D"/>
    <w:rsid w:val="000F3A3C"/>
    <w:rsid w:val="000F46F1"/>
    <w:rsid w:val="000F55C1"/>
    <w:rsid w:val="000F58F8"/>
    <w:rsid w:val="000F5B2F"/>
    <w:rsid w:val="000F6DC3"/>
    <w:rsid w:val="000F786E"/>
    <w:rsid w:val="0010072E"/>
    <w:rsid w:val="0010104F"/>
    <w:rsid w:val="00101512"/>
    <w:rsid w:val="0010163E"/>
    <w:rsid w:val="0010165C"/>
    <w:rsid w:val="00101CD5"/>
    <w:rsid w:val="00103CB4"/>
    <w:rsid w:val="0010423D"/>
    <w:rsid w:val="00104ACF"/>
    <w:rsid w:val="00104B6A"/>
    <w:rsid w:val="00104C28"/>
    <w:rsid w:val="00104CE4"/>
    <w:rsid w:val="00105F16"/>
    <w:rsid w:val="001065E3"/>
    <w:rsid w:val="001069AD"/>
    <w:rsid w:val="00106C7C"/>
    <w:rsid w:val="001076D6"/>
    <w:rsid w:val="001119D7"/>
    <w:rsid w:val="00111A50"/>
    <w:rsid w:val="00111AA3"/>
    <w:rsid w:val="00111F01"/>
    <w:rsid w:val="00112002"/>
    <w:rsid w:val="00112725"/>
    <w:rsid w:val="00113632"/>
    <w:rsid w:val="0011589A"/>
    <w:rsid w:val="0011659E"/>
    <w:rsid w:val="00116EA1"/>
    <w:rsid w:val="00116F70"/>
    <w:rsid w:val="00116F90"/>
    <w:rsid w:val="00117427"/>
    <w:rsid w:val="00120090"/>
    <w:rsid w:val="001201C0"/>
    <w:rsid w:val="00120D47"/>
    <w:rsid w:val="00121177"/>
    <w:rsid w:val="001211C0"/>
    <w:rsid w:val="00121AB6"/>
    <w:rsid w:val="00121EAB"/>
    <w:rsid w:val="00121EBE"/>
    <w:rsid w:val="0012259C"/>
    <w:rsid w:val="00122AD2"/>
    <w:rsid w:val="0012401C"/>
    <w:rsid w:val="00124B18"/>
    <w:rsid w:val="00124F8D"/>
    <w:rsid w:val="00126AB4"/>
    <w:rsid w:val="00127D2C"/>
    <w:rsid w:val="00127DBF"/>
    <w:rsid w:val="001308CD"/>
    <w:rsid w:val="00131698"/>
    <w:rsid w:val="00131965"/>
    <w:rsid w:val="00131F52"/>
    <w:rsid w:val="00131FBE"/>
    <w:rsid w:val="001321C2"/>
    <w:rsid w:val="001348B1"/>
    <w:rsid w:val="00135185"/>
    <w:rsid w:val="00135810"/>
    <w:rsid w:val="00135E03"/>
    <w:rsid w:val="00135EC3"/>
    <w:rsid w:val="00136C0C"/>
    <w:rsid w:val="00137432"/>
    <w:rsid w:val="00137669"/>
    <w:rsid w:val="001405E9"/>
    <w:rsid w:val="00140A45"/>
    <w:rsid w:val="00141033"/>
    <w:rsid w:val="0014104A"/>
    <w:rsid w:val="00141195"/>
    <w:rsid w:val="001412DA"/>
    <w:rsid w:val="00141366"/>
    <w:rsid w:val="00141635"/>
    <w:rsid w:val="001418FF"/>
    <w:rsid w:val="001434DC"/>
    <w:rsid w:val="00143628"/>
    <w:rsid w:val="00145AC2"/>
    <w:rsid w:val="001460AC"/>
    <w:rsid w:val="00147469"/>
    <w:rsid w:val="00147532"/>
    <w:rsid w:val="00147E07"/>
    <w:rsid w:val="001505E0"/>
    <w:rsid w:val="00150EAC"/>
    <w:rsid w:val="0015136A"/>
    <w:rsid w:val="0015168B"/>
    <w:rsid w:val="0015199E"/>
    <w:rsid w:val="00151D8C"/>
    <w:rsid w:val="001521B4"/>
    <w:rsid w:val="00154E7C"/>
    <w:rsid w:val="001558FF"/>
    <w:rsid w:val="0015614F"/>
    <w:rsid w:val="00156166"/>
    <w:rsid w:val="00156B21"/>
    <w:rsid w:val="00156FC0"/>
    <w:rsid w:val="00157B51"/>
    <w:rsid w:val="00160860"/>
    <w:rsid w:val="00160CA0"/>
    <w:rsid w:val="0016284C"/>
    <w:rsid w:val="00162892"/>
    <w:rsid w:val="00162C0D"/>
    <w:rsid w:val="00163D65"/>
    <w:rsid w:val="00163E78"/>
    <w:rsid w:val="001646C7"/>
    <w:rsid w:val="00164767"/>
    <w:rsid w:val="001648FB"/>
    <w:rsid w:val="00164FB0"/>
    <w:rsid w:val="001652CD"/>
    <w:rsid w:val="001654E5"/>
    <w:rsid w:val="001659F2"/>
    <w:rsid w:val="00165F9B"/>
    <w:rsid w:val="0016679A"/>
    <w:rsid w:val="001667E2"/>
    <w:rsid w:val="00166999"/>
    <w:rsid w:val="00171021"/>
    <w:rsid w:val="00171C89"/>
    <w:rsid w:val="00172B94"/>
    <w:rsid w:val="00172C20"/>
    <w:rsid w:val="001734F2"/>
    <w:rsid w:val="00173666"/>
    <w:rsid w:val="001739C4"/>
    <w:rsid w:val="00174076"/>
    <w:rsid w:val="00174243"/>
    <w:rsid w:val="00174DA5"/>
    <w:rsid w:val="00175496"/>
    <w:rsid w:val="00175631"/>
    <w:rsid w:val="00175AD2"/>
    <w:rsid w:val="00177993"/>
    <w:rsid w:val="0018039A"/>
    <w:rsid w:val="00181099"/>
    <w:rsid w:val="0018158B"/>
    <w:rsid w:val="001815B4"/>
    <w:rsid w:val="001816BC"/>
    <w:rsid w:val="00181B20"/>
    <w:rsid w:val="00182927"/>
    <w:rsid w:val="001838E8"/>
    <w:rsid w:val="0018431E"/>
    <w:rsid w:val="00185B40"/>
    <w:rsid w:val="0018641B"/>
    <w:rsid w:val="00186861"/>
    <w:rsid w:val="00186AA9"/>
    <w:rsid w:val="00187710"/>
    <w:rsid w:val="00187C4F"/>
    <w:rsid w:val="00190734"/>
    <w:rsid w:val="00190C91"/>
    <w:rsid w:val="0019165F"/>
    <w:rsid w:val="00191C5C"/>
    <w:rsid w:val="00191C84"/>
    <w:rsid w:val="001924EE"/>
    <w:rsid w:val="00192610"/>
    <w:rsid w:val="0019276B"/>
    <w:rsid w:val="00192EBA"/>
    <w:rsid w:val="00194E7F"/>
    <w:rsid w:val="001957AE"/>
    <w:rsid w:val="00195BC6"/>
    <w:rsid w:val="00197518"/>
    <w:rsid w:val="001A0F41"/>
    <w:rsid w:val="001A13EF"/>
    <w:rsid w:val="001A19E9"/>
    <w:rsid w:val="001A1DAE"/>
    <w:rsid w:val="001A1E03"/>
    <w:rsid w:val="001A241E"/>
    <w:rsid w:val="001A3300"/>
    <w:rsid w:val="001A3F52"/>
    <w:rsid w:val="001A4131"/>
    <w:rsid w:val="001A5A6D"/>
    <w:rsid w:val="001A610B"/>
    <w:rsid w:val="001A7583"/>
    <w:rsid w:val="001A7A9E"/>
    <w:rsid w:val="001A7BB7"/>
    <w:rsid w:val="001B03A6"/>
    <w:rsid w:val="001B042D"/>
    <w:rsid w:val="001B1617"/>
    <w:rsid w:val="001B241A"/>
    <w:rsid w:val="001B2C38"/>
    <w:rsid w:val="001B2EB8"/>
    <w:rsid w:val="001B2F7D"/>
    <w:rsid w:val="001B39EC"/>
    <w:rsid w:val="001B3E9A"/>
    <w:rsid w:val="001B76C9"/>
    <w:rsid w:val="001B7CDF"/>
    <w:rsid w:val="001C08A0"/>
    <w:rsid w:val="001C13DA"/>
    <w:rsid w:val="001C1871"/>
    <w:rsid w:val="001C230D"/>
    <w:rsid w:val="001C3846"/>
    <w:rsid w:val="001C481D"/>
    <w:rsid w:val="001C4CD3"/>
    <w:rsid w:val="001C5B9D"/>
    <w:rsid w:val="001C611A"/>
    <w:rsid w:val="001C6394"/>
    <w:rsid w:val="001C6BBF"/>
    <w:rsid w:val="001C6BCF"/>
    <w:rsid w:val="001C7268"/>
    <w:rsid w:val="001D01C0"/>
    <w:rsid w:val="001D026D"/>
    <w:rsid w:val="001D050D"/>
    <w:rsid w:val="001D15F2"/>
    <w:rsid w:val="001D16C0"/>
    <w:rsid w:val="001D1DD1"/>
    <w:rsid w:val="001D2E7A"/>
    <w:rsid w:val="001D42C7"/>
    <w:rsid w:val="001D4711"/>
    <w:rsid w:val="001D4E8C"/>
    <w:rsid w:val="001D5744"/>
    <w:rsid w:val="001D5DC9"/>
    <w:rsid w:val="001D5EC7"/>
    <w:rsid w:val="001D6710"/>
    <w:rsid w:val="001D7494"/>
    <w:rsid w:val="001E0378"/>
    <w:rsid w:val="001E0A4D"/>
    <w:rsid w:val="001E3999"/>
    <w:rsid w:val="001E46DB"/>
    <w:rsid w:val="001E5913"/>
    <w:rsid w:val="001E5DED"/>
    <w:rsid w:val="001E62D4"/>
    <w:rsid w:val="001E63D8"/>
    <w:rsid w:val="001E65BE"/>
    <w:rsid w:val="001E6A9C"/>
    <w:rsid w:val="001E79FB"/>
    <w:rsid w:val="001F0169"/>
    <w:rsid w:val="001F0296"/>
    <w:rsid w:val="001F0472"/>
    <w:rsid w:val="001F13E9"/>
    <w:rsid w:val="001F1424"/>
    <w:rsid w:val="001F1A34"/>
    <w:rsid w:val="001F227E"/>
    <w:rsid w:val="001F2DD3"/>
    <w:rsid w:val="001F3C0E"/>
    <w:rsid w:val="001F4A30"/>
    <w:rsid w:val="001F4D01"/>
    <w:rsid w:val="001F5514"/>
    <w:rsid w:val="001F58EA"/>
    <w:rsid w:val="001F5C2E"/>
    <w:rsid w:val="001F5CA1"/>
    <w:rsid w:val="001F62E1"/>
    <w:rsid w:val="001F65DB"/>
    <w:rsid w:val="001F67A3"/>
    <w:rsid w:val="001F7C24"/>
    <w:rsid w:val="001F7EB1"/>
    <w:rsid w:val="002013B3"/>
    <w:rsid w:val="002014B2"/>
    <w:rsid w:val="00203671"/>
    <w:rsid w:val="00204FA6"/>
    <w:rsid w:val="002065BE"/>
    <w:rsid w:val="002068E7"/>
    <w:rsid w:val="00206DB3"/>
    <w:rsid w:val="002073EE"/>
    <w:rsid w:val="00211188"/>
    <w:rsid w:val="00211294"/>
    <w:rsid w:val="002114D0"/>
    <w:rsid w:val="00211629"/>
    <w:rsid w:val="0021199D"/>
    <w:rsid w:val="00211F74"/>
    <w:rsid w:val="00211FB6"/>
    <w:rsid w:val="00212389"/>
    <w:rsid w:val="002124F8"/>
    <w:rsid w:val="00212767"/>
    <w:rsid w:val="002129BC"/>
    <w:rsid w:val="00213932"/>
    <w:rsid w:val="002142CB"/>
    <w:rsid w:val="0021431F"/>
    <w:rsid w:val="00214866"/>
    <w:rsid w:val="002165E9"/>
    <w:rsid w:val="002166A7"/>
    <w:rsid w:val="002168A6"/>
    <w:rsid w:val="00217ECC"/>
    <w:rsid w:val="00220457"/>
    <w:rsid w:val="0022050B"/>
    <w:rsid w:val="00220B09"/>
    <w:rsid w:val="00220F85"/>
    <w:rsid w:val="0022160F"/>
    <w:rsid w:val="00221D91"/>
    <w:rsid w:val="002222B0"/>
    <w:rsid w:val="00222C1B"/>
    <w:rsid w:val="00223227"/>
    <w:rsid w:val="00223AA5"/>
    <w:rsid w:val="002252E0"/>
    <w:rsid w:val="00225A63"/>
    <w:rsid w:val="00225DA5"/>
    <w:rsid w:val="00225E2B"/>
    <w:rsid w:val="002266E3"/>
    <w:rsid w:val="00226C55"/>
    <w:rsid w:val="00226D0A"/>
    <w:rsid w:val="002273C1"/>
    <w:rsid w:val="00227E95"/>
    <w:rsid w:val="00230677"/>
    <w:rsid w:val="00231824"/>
    <w:rsid w:val="0023429F"/>
    <w:rsid w:val="00234310"/>
    <w:rsid w:val="002348D9"/>
    <w:rsid w:val="0023794F"/>
    <w:rsid w:val="00237E90"/>
    <w:rsid w:val="0024018E"/>
    <w:rsid w:val="0024026E"/>
    <w:rsid w:val="00241971"/>
    <w:rsid w:val="00242AD7"/>
    <w:rsid w:val="00244267"/>
    <w:rsid w:val="00244BD2"/>
    <w:rsid w:val="00245149"/>
    <w:rsid w:val="00245BF5"/>
    <w:rsid w:val="00246201"/>
    <w:rsid w:val="00246224"/>
    <w:rsid w:val="00246610"/>
    <w:rsid w:val="00247306"/>
    <w:rsid w:val="00247BED"/>
    <w:rsid w:val="002504D5"/>
    <w:rsid w:val="00250587"/>
    <w:rsid w:val="0025402C"/>
    <w:rsid w:val="00254B3D"/>
    <w:rsid w:val="00255335"/>
    <w:rsid w:val="0025592C"/>
    <w:rsid w:val="00255CC0"/>
    <w:rsid w:val="0025669D"/>
    <w:rsid w:val="00256F5B"/>
    <w:rsid w:val="00260EC7"/>
    <w:rsid w:val="0026125D"/>
    <w:rsid w:val="00261284"/>
    <w:rsid w:val="00262065"/>
    <w:rsid w:val="00262305"/>
    <w:rsid w:val="0026364A"/>
    <w:rsid w:val="00263CAB"/>
    <w:rsid w:val="0026475C"/>
    <w:rsid w:val="00264848"/>
    <w:rsid w:val="00267A3C"/>
    <w:rsid w:val="00270ACA"/>
    <w:rsid w:val="00271E5F"/>
    <w:rsid w:val="002733D0"/>
    <w:rsid w:val="0027366E"/>
    <w:rsid w:val="00273AB4"/>
    <w:rsid w:val="00273C32"/>
    <w:rsid w:val="00273E23"/>
    <w:rsid w:val="00274E81"/>
    <w:rsid w:val="00275041"/>
    <w:rsid w:val="00277CAE"/>
    <w:rsid w:val="002800E4"/>
    <w:rsid w:val="00281BCA"/>
    <w:rsid w:val="00282314"/>
    <w:rsid w:val="00282A47"/>
    <w:rsid w:val="00282FDC"/>
    <w:rsid w:val="00283532"/>
    <w:rsid w:val="00283E2E"/>
    <w:rsid w:val="00284E06"/>
    <w:rsid w:val="00285F47"/>
    <w:rsid w:val="00286098"/>
    <w:rsid w:val="0028711E"/>
    <w:rsid w:val="00287F5C"/>
    <w:rsid w:val="00290477"/>
    <w:rsid w:val="00290546"/>
    <w:rsid w:val="002906CF"/>
    <w:rsid w:val="0029137F"/>
    <w:rsid w:val="002916FB"/>
    <w:rsid w:val="00291720"/>
    <w:rsid w:val="00291D50"/>
    <w:rsid w:val="0029222D"/>
    <w:rsid w:val="0029226F"/>
    <w:rsid w:val="00292F3E"/>
    <w:rsid w:val="00293EDE"/>
    <w:rsid w:val="00295270"/>
    <w:rsid w:val="00295379"/>
    <w:rsid w:val="00297106"/>
    <w:rsid w:val="002971AA"/>
    <w:rsid w:val="0029750C"/>
    <w:rsid w:val="002A07F7"/>
    <w:rsid w:val="002A16F8"/>
    <w:rsid w:val="002A2E7B"/>
    <w:rsid w:val="002A50B4"/>
    <w:rsid w:val="002A544B"/>
    <w:rsid w:val="002A5A51"/>
    <w:rsid w:val="002A5F5B"/>
    <w:rsid w:val="002A7013"/>
    <w:rsid w:val="002A70F0"/>
    <w:rsid w:val="002A7350"/>
    <w:rsid w:val="002A7359"/>
    <w:rsid w:val="002B0145"/>
    <w:rsid w:val="002B0E4F"/>
    <w:rsid w:val="002B18AB"/>
    <w:rsid w:val="002B1C83"/>
    <w:rsid w:val="002B1EE7"/>
    <w:rsid w:val="002B2A94"/>
    <w:rsid w:val="002B2BE1"/>
    <w:rsid w:val="002B2D71"/>
    <w:rsid w:val="002B36C6"/>
    <w:rsid w:val="002B37DC"/>
    <w:rsid w:val="002B3C27"/>
    <w:rsid w:val="002B4F6E"/>
    <w:rsid w:val="002B72C3"/>
    <w:rsid w:val="002B73B2"/>
    <w:rsid w:val="002B7A4A"/>
    <w:rsid w:val="002B7EA3"/>
    <w:rsid w:val="002C0D3D"/>
    <w:rsid w:val="002C10CC"/>
    <w:rsid w:val="002C1D89"/>
    <w:rsid w:val="002C1EF6"/>
    <w:rsid w:val="002C2026"/>
    <w:rsid w:val="002C4082"/>
    <w:rsid w:val="002C41F2"/>
    <w:rsid w:val="002C42A8"/>
    <w:rsid w:val="002C4C38"/>
    <w:rsid w:val="002C6AEE"/>
    <w:rsid w:val="002C7AE7"/>
    <w:rsid w:val="002C7C9D"/>
    <w:rsid w:val="002D047E"/>
    <w:rsid w:val="002D0E48"/>
    <w:rsid w:val="002D112D"/>
    <w:rsid w:val="002D1891"/>
    <w:rsid w:val="002D2540"/>
    <w:rsid w:val="002D2707"/>
    <w:rsid w:val="002D437B"/>
    <w:rsid w:val="002D5432"/>
    <w:rsid w:val="002D5DB0"/>
    <w:rsid w:val="002D647E"/>
    <w:rsid w:val="002D6A58"/>
    <w:rsid w:val="002D718A"/>
    <w:rsid w:val="002E03D0"/>
    <w:rsid w:val="002E0414"/>
    <w:rsid w:val="002E05A1"/>
    <w:rsid w:val="002E0F36"/>
    <w:rsid w:val="002E1A67"/>
    <w:rsid w:val="002E1A79"/>
    <w:rsid w:val="002E25F5"/>
    <w:rsid w:val="002E28AC"/>
    <w:rsid w:val="002E3ACD"/>
    <w:rsid w:val="002E3D8C"/>
    <w:rsid w:val="002E4760"/>
    <w:rsid w:val="002E4BCB"/>
    <w:rsid w:val="002E5D36"/>
    <w:rsid w:val="002F0743"/>
    <w:rsid w:val="002F0949"/>
    <w:rsid w:val="002F18A7"/>
    <w:rsid w:val="002F2A0B"/>
    <w:rsid w:val="002F2CC8"/>
    <w:rsid w:val="002F3825"/>
    <w:rsid w:val="002F3BF2"/>
    <w:rsid w:val="002F3EAA"/>
    <w:rsid w:val="002F40FF"/>
    <w:rsid w:val="002F4578"/>
    <w:rsid w:val="002F4DAB"/>
    <w:rsid w:val="002F53A5"/>
    <w:rsid w:val="002F5C2E"/>
    <w:rsid w:val="002F6F57"/>
    <w:rsid w:val="002F703D"/>
    <w:rsid w:val="002F77A4"/>
    <w:rsid w:val="002F7811"/>
    <w:rsid w:val="002F7E48"/>
    <w:rsid w:val="0030036C"/>
    <w:rsid w:val="003009FA"/>
    <w:rsid w:val="0030150B"/>
    <w:rsid w:val="00301B8A"/>
    <w:rsid w:val="00302B04"/>
    <w:rsid w:val="00303A35"/>
    <w:rsid w:val="00304CB0"/>
    <w:rsid w:val="00304CE2"/>
    <w:rsid w:val="00305268"/>
    <w:rsid w:val="003068A8"/>
    <w:rsid w:val="00306D5D"/>
    <w:rsid w:val="00307A20"/>
    <w:rsid w:val="00310765"/>
    <w:rsid w:val="003108CA"/>
    <w:rsid w:val="00310904"/>
    <w:rsid w:val="00311E2E"/>
    <w:rsid w:val="00311EB8"/>
    <w:rsid w:val="00313779"/>
    <w:rsid w:val="003139D8"/>
    <w:rsid w:val="00314A99"/>
    <w:rsid w:val="00315011"/>
    <w:rsid w:val="003153D2"/>
    <w:rsid w:val="00320267"/>
    <w:rsid w:val="00320CBF"/>
    <w:rsid w:val="003210FE"/>
    <w:rsid w:val="00321A47"/>
    <w:rsid w:val="00322341"/>
    <w:rsid w:val="0032352F"/>
    <w:rsid w:val="0032381C"/>
    <w:rsid w:val="00323BC7"/>
    <w:rsid w:val="003248FB"/>
    <w:rsid w:val="00324C91"/>
    <w:rsid w:val="00325E4D"/>
    <w:rsid w:val="00326339"/>
    <w:rsid w:val="0032761C"/>
    <w:rsid w:val="00327B43"/>
    <w:rsid w:val="00330191"/>
    <w:rsid w:val="0033090B"/>
    <w:rsid w:val="00331796"/>
    <w:rsid w:val="0033189C"/>
    <w:rsid w:val="00333E10"/>
    <w:rsid w:val="0033435E"/>
    <w:rsid w:val="00336352"/>
    <w:rsid w:val="00336C95"/>
    <w:rsid w:val="00336CF2"/>
    <w:rsid w:val="00337F58"/>
    <w:rsid w:val="003403AE"/>
    <w:rsid w:val="0034173F"/>
    <w:rsid w:val="00341A50"/>
    <w:rsid w:val="00341C8C"/>
    <w:rsid w:val="0034374B"/>
    <w:rsid w:val="00343A4D"/>
    <w:rsid w:val="00344837"/>
    <w:rsid w:val="00344B0A"/>
    <w:rsid w:val="00345227"/>
    <w:rsid w:val="0034580B"/>
    <w:rsid w:val="003463E4"/>
    <w:rsid w:val="00347A7C"/>
    <w:rsid w:val="00350A4B"/>
    <w:rsid w:val="00352B33"/>
    <w:rsid w:val="00352BFE"/>
    <w:rsid w:val="00352D64"/>
    <w:rsid w:val="00353071"/>
    <w:rsid w:val="00353261"/>
    <w:rsid w:val="00354D07"/>
    <w:rsid w:val="0035547C"/>
    <w:rsid w:val="00357885"/>
    <w:rsid w:val="0036204B"/>
    <w:rsid w:val="00362E1C"/>
    <w:rsid w:val="003633DB"/>
    <w:rsid w:val="00364143"/>
    <w:rsid w:val="00365A4D"/>
    <w:rsid w:val="00367096"/>
    <w:rsid w:val="00367311"/>
    <w:rsid w:val="003717E8"/>
    <w:rsid w:val="003718EA"/>
    <w:rsid w:val="003720FF"/>
    <w:rsid w:val="00372487"/>
    <w:rsid w:val="0037249D"/>
    <w:rsid w:val="003730EF"/>
    <w:rsid w:val="00374019"/>
    <w:rsid w:val="0037552C"/>
    <w:rsid w:val="00375BB3"/>
    <w:rsid w:val="00375DC8"/>
    <w:rsid w:val="0037629E"/>
    <w:rsid w:val="00376B1F"/>
    <w:rsid w:val="00376DA1"/>
    <w:rsid w:val="0037719E"/>
    <w:rsid w:val="003774DB"/>
    <w:rsid w:val="0037784F"/>
    <w:rsid w:val="0038105F"/>
    <w:rsid w:val="00381B82"/>
    <w:rsid w:val="0038482E"/>
    <w:rsid w:val="00387094"/>
    <w:rsid w:val="0038762C"/>
    <w:rsid w:val="003918BC"/>
    <w:rsid w:val="00392C80"/>
    <w:rsid w:val="00393247"/>
    <w:rsid w:val="00394CBE"/>
    <w:rsid w:val="00395015"/>
    <w:rsid w:val="00395AC7"/>
    <w:rsid w:val="003A08C5"/>
    <w:rsid w:val="003A0DA3"/>
    <w:rsid w:val="003A1150"/>
    <w:rsid w:val="003A2186"/>
    <w:rsid w:val="003A260E"/>
    <w:rsid w:val="003A2F94"/>
    <w:rsid w:val="003A3557"/>
    <w:rsid w:val="003A3D43"/>
    <w:rsid w:val="003A4649"/>
    <w:rsid w:val="003A5A98"/>
    <w:rsid w:val="003A5C51"/>
    <w:rsid w:val="003A5F89"/>
    <w:rsid w:val="003A6A2A"/>
    <w:rsid w:val="003A6B42"/>
    <w:rsid w:val="003A7454"/>
    <w:rsid w:val="003A7543"/>
    <w:rsid w:val="003A7AF2"/>
    <w:rsid w:val="003B14C2"/>
    <w:rsid w:val="003B1B5C"/>
    <w:rsid w:val="003B1ECC"/>
    <w:rsid w:val="003B53C4"/>
    <w:rsid w:val="003B5817"/>
    <w:rsid w:val="003B6258"/>
    <w:rsid w:val="003B6873"/>
    <w:rsid w:val="003B7680"/>
    <w:rsid w:val="003B7D22"/>
    <w:rsid w:val="003B7DDA"/>
    <w:rsid w:val="003C02F3"/>
    <w:rsid w:val="003C0993"/>
    <w:rsid w:val="003C0E4D"/>
    <w:rsid w:val="003C12BE"/>
    <w:rsid w:val="003C140C"/>
    <w:rsid w:val="003C1556"/>
    <w:rsid w:val="003C18C4"/>
    <w:rsid w:val="003C1C5D"/>
    <w:rsid w:val="003C1DC8"/>
    <w:rsid w:val="003C2514"/>
    <w:rsid w:val="003C2ADF"/>
    <w:rsid w:val="003C55F5"/>
    <w:rsid w:val="003D09AA"/>
    <w:rsid w:val="003D0A9B"/>
    <w:rsid w:val="003D20DA"/>
    <w:rsid w:val="003D2AEE"/>
    <w:rsid w:val="003D2CE7"/>
    <w:rsid w:val="003D39E8"/>
    <w:rsid w:val="003D3D36"/>
    <w:rsid w:val="003D49F3"/>
    <w:rsid w:val="003D4BA2"/>
    <w:rsid w:val="003D671A"/>
    <w:rsid w:val="003D68AB"/>
    <w:rsid w:val="003D6FF8"/>
    <w:rsid w:val="003D744E"/>
    <w:rsid w:val="003D7733"/>
    <w:rsid w:val="003E0CB6"/>
    <w:rsid w:val="003E18A0"/>
    <w:rsid w:val="003E2404"/>
    <w:rsid w:val="003E4E8C"/>
    <w:rsid w:val="003E5682"/>
    <w:rsid w:val="003E5861"/>
    <w:rsid w:val="003E71A4"/>
    <w:rsid w:val="003E725D"/>
    <w:rsid w:val="003E73A2"/>
    <w:rsid w:val="003E7E46"/>
    <w:rsid w:val="003F0111"/>
    <w:rsid w:val="003F1487"/>
    <w:rsid w:val="003F150D"/>
    <w:rsid w:val="003F1522"/>
    <w:rsid w:val="003F191A"/>
    <w:rsid w:val="003F21F3"/>
    <w:rsid w:val="003F2284"/>
    <w:rsid w:val="003F24EE"/>
    <w:rsid w:val="003F30D6"/>
    <w:rsid w:val="003F3510"/>
    <w:rsid w:val="003F438A"/>
    <w:rsid w:val="003F51AC"/>
    <w:rsid w:val="003F550B"/>
    <w:rsid w:val="003F5A3E"/>
    <w:rsid w:val="003F6710"/>
    <w:rsid w:val="003F697E"/>
    <w:rsid w:val="003F754F"/>
    <w:rsid w:val="003F7F9E"/>
    <w:rsid w:val="00401545"/>
    <w:rsid w:val="0040175F"/>
    <w:rsid w:val="004022FE"/>
    <w:rsid w:val="00402694"/>
    <w:rsid w:val="00403185"/>
    <w:rsid w:val="00403769"/>
    <w:rsid w:val="00403C6C"/>
    <w:rsid w:val="0040538D"/>
    <w:rsid w:val="004057A7"/>
    <w:rsid w:val="00406447"/>
    <w:rsid w:val="0040714F"/>
    <w:rsid w:val="004074EE"/>
    <w:rsid w:val="00407792"/>
    <w:rsid w:val="004077CE"/>
    <w:rsid w:val="00407B0C"/>
    <w:rsid w:val="00407D64"/>
    <w:rsid w:val="0041030E"/>
    <w:rsid w:val="0041098F"/>
    <w:rsid w:val="00411530"/>
    <w:rsid w:val="00411F7D"/>
    <w:rsid w:val="004120A5"/>
    <w:rsid w:val="004132AD"/>
    <w:rsid w:val="00413B0F"/>
    <w:rsid w:val="004153CC"/>
    <w:rsid w:val="00415901"/>
    <w:rsid w:val="004163CF"/>
    <w:rsid w:val="00416A03"/>
    <w:rsid w:val="00416B32"/>
    <w:rsid w:val="0041785F"/>
    <w:rsid w:val="0041791B"/>
    <w:rsid w:val="00420AC8"/>
    <w:rsid w:val="004223F3"/>
    <w:rsid w:val="004226BD"/>
    <w:rsid w:val="004234A1"/>
    <w:rsid w:val="00423B8B"/>
    <w:rsid w:val="004246D8"/>
    <w:rsid w:val="00425415"/>
    <w:rsid w:val="00425DE4"/>
    <w:rsid w:val="00425F08"/>
    <w:rsid w:val="00426C2E"/>
    <w:rsid w:val="00426E11"/>
    <w:rsid w:val="00426EE5"/>
    <w:rsid w:val="00426FC1"/>
    <w:rsid w:val="00427596"/>
    <w:rsid w:val="00427A05"/>
    <w:rsid w:val="00427F1B"/>
    <w:rsid w:val="004301AF"/>
    <w:rsid w:val="00430A74"/>
    <w:rsid w:val="00430B9E"/>
    <w:rsid w:val="00431682"/>
    <w:rsid w:val="004317F2"/>
    <w:rsid w:val="00432CCD"/>
    <w:rsid w:val="00432CE1"/>
    <w:rsid w:val="00434E88"/>
    <w:rsid w:val="0043515D"/>
    <w:rsid w:val="0043751C"/>
    <w:rsid w:val="0043788C"/>
    <w:rsid w:val="0044062C"/>
    <w:rsid w:val="00440976"/>
    <w:rsid w:val="00440B9A"/>
    <w:rsid w:val="00440D94"/>
    <w:rsid w:val="00441BCB"/>
    <w:rsid w:val="00442916"/>
    <w:rsid w:val="00442B92"/>
    <w:rsid w:val="00442CDD"/>
    <w:rsid w:val="00443B7C"/>
    <w:rsid w:val="00444A77"/>
    <w:rsid w:val="00445733"/>
    <w:rsid w:val="00445F25"/>
    <w:rsid w:val="00445FD8"/>
    <w:rsid w:val="00446BDF"/>
    <w:rsid w:val="00447C05"/>
    <w:rsid w:val="00450365"/>
    <w:rsid w:val="00450B6B"/>
    <w:rsid w:val="00450FA7"/>
    <w:rsid w:val="00451134"/>
    <w:rsid w:val="00451A3A"/>
    <w:rsid w:val="00455C91"/>
    <w:rsid w:val="00455FB1"/>
    <w:rsid w:val="0045639E"/>
    <w:rsid w:val="00457C99"/>
    <w:rsid w:val="00460946"/>
    <w:rsid w:val="004613B5"/>
    <w:rsid w:val="00462235"/>
    <w:rsid w:val="00462E26"/>
    <w:rsid w:val="00462FAE"/>
    <w:rsid w:val="00463B97"/>
    <w:rsid w:val="00463D50"/>
    <w:rsid w:val="00466130"/>
    <w:rsid w:val="004661AB"/>
    <w:rsid w:val="0046662C"/>
    <w:rsid w:val="0046663A"/>
    <w:rsid w:val="00466769"/>
    <w:rsid w:val="00466C07"/>
    <w:rsid w:val="00467DCD"/>
    <w:rsid w:val="0047082D"/>
    <w:rsid w:val="00470845"/>
    <w:rsid w:val="0047097D"/>
    <w:rsid w:val="00471BBC"/>
    <w:rsid w:val="00472A06"/>
    <w:rsid w:val="0047399C"/>
    <w:rsid w:val="00473C55"/>
    <w:rsid w:val="00473C8B"/>
    <w:rsid w:val="0047498D"/>
    <w:rsid w:val="00476802"/>
    <w:rsid w:val="00477C7F"/>
    <w:rsid w:val="00482878"/>
    <w:rsid w:val="0048287D"/>
    <w:rsid w:val="00483343"/>
    <w:rsid w:val="00483FEC"/>
    <w:rsid w:val="00484452"/>
    <w:rsid w:val="00484454"/>
    <w:rsid w:val="0048446C"/>
    <w:rsid w:val="004846CF"/>
    <w:rsid w:val="0048475F"/>
    <w:rsid w:val="00485D63"/>
    <w:rsid w:val="00486D7A"/>
    <w:rsid w:val="00487278"/>
    <w:rsid w:val="00487465"/>
    <w:rsid w:val="00487F52"/>
    <w:rsid w:val="004902A2"/>
    <w:rsid w:val="00490325"/>
    <w:rsid w:val="00490393"/>
    <w:rsid w:val="00490729"/>
    <w:rsid w:val="00491971"/>
    <w:rsid w:val="004926AE"/>
    <w:rsid w:val="0049285C"/>
    <w:rsid w:val="00492C1C"/>
    <w:rsid w:val="0049323A"/>
    <w:rsid w:val="00494726"/>
    <w:rsid w:val="00494D0A"/>
    <w:rsid w:val="004954DA"/>
    <w:rsid w:val="004960D5"/>
    <w:rsid w:val="004964A3"/>
    <w:rsid w:val="00497460"/>
    <w:rsid w:val="00497494"/>
    <w:rsid w:val="004976F2"/>
    <w:rsid w:val="004A0B0C"/>
    <w:rsid w:val="004A2583"/>
    <w:rsid w:val="004A4331"/>
    <w:rsid w:val="004A5375"/>
    <w:rsid w:val="004A5FD9"/>
    <w:rsid w:val="004A6F87"/>
    <w:rsid w:val="004A6FF4"/>
    <w:rsid w:val="004A7071"/>
    <w:rsid w:val="004B0216"/>
    <w:rsid w:val="004B10DE"/>
    <w:rsid w:val="004B1F8B"/>
    <w:rsid w:val="004B20F3"/>
    <w:rsid w:val="004B2331"/>
    <w:rsid w:val="004B233C"/>
    <w:rsid w:val="004B33D7"/>
    <w:rsid w:val="004B4803"/>
    <w:rsid w:val="004B4D17"/>
    <w:rsid w:val="004B4FBE"/>
    <w:rsid w:val="004B5224"/>
    <w:rsid w:val="004B5A36"/>
    <w:rsid w:val="004B5D94"/>
    <w:rsid w:val="004B64BB"/>
    <w:rsid w:val="004B6AA1"/>
    <w:rsid w:val="004B6D0B"/>
    <w:rsid w:val="004C064F"/>
    <w:rsid w:val="004C1561"/>
    <w:rsid w:val="004C24C6"/>
    <w:rsid w:val="004C3824"/>
    <w:rsid w:val="004C38C3"/>
    <w:rsid w:val="004C406A"/>
    <w:rsid w:val="004C563D"/>
    <w:rsid w:val="004C6BF1"/>
    <w:rsid w:val="004C7383"/>
    <w:rsid w:val="004C74AF"/>
    <w:rsid w:val="004D05D5"/>
    <w:rsid w:val="004D1CEB"/>
    <w:rsid w:val="004D229B"/>
    <w:rsid w:val="004D2B18"/>
    <w:rsid w:val="004D3EBD"/>
    <w:rsid w:val="004D6319"/>
    <w:rsid w:val="004D6B9E"/>
    <w:rsid w:val="004D7F57"/>
    <w:rsid w:val="004E002D"/>
    <w:rsid w:val="004E135B"/>
    <w:rsid w:val="004E26A8"/>
    <w:rsid w:val="004E2910"/>
    <w:rsid w:val="004E35B6"/>
    <w:rsid w:val="004E4674"/>
    <w:rsid w:val="004E4AA4"/>
    <w:rsid w:val="004E548A"/>
    <w:rsid w:val="004E58CD"/>
    <w:rsid w:val="004F0408"/>
    <w:rsid w:val="004F0AAE"/>
    <w:rsid w:val="004F1695"/>
    <w:rsid w:val="004F2666"/>
    <w:rsid w:val="004F2FC0"/>
    <w:rsid w:val="004F30D0"/>
    <w:rsid w:val="004F4433"/>
    <w:rsid w:val="004F4854"/>
    <w:rsid w:val="004F5543"/>
    <w:rsid w:val="004F5E16"/>
    <w:rsid w:val="004F6067"/>
    <w:rsid w:val="004F62E1"/>
    <w:rsid w:val="004F6B3E"/>
    <w:rsid w:val="004F748A"/>
    <w:rsid w:val="004F77DC"/>
    <w:rsid w:val="0050068E"/>
    <w:rsid w:val="005009CD"/>
    <w:rsid w:val="00500F4E"/>
    <w:rsid w:val="0050109B"/>
    <w:rsid w:val="0050273A"/>
    <w:rsid w:val="00502FA5"/>
    <w:rsid w:val="00504620"/>
    <w:rsid w:val="00504E55"/>
    <w:rsid w:val="00505243"/>
    <w:rsid w:val="00505A81"/>
    <w:rsid w:val="00505AC7"/>
    <w:rsid w:val="00507352"/>
    <w:rsid w:val="005073E2"/>
    <w:rsid w:val="00510DAC"/>
    <w:rsid w:val="00511263"/>
    <w:rsid w:val="0051172E"/>
    <w:rsid w:val="00512446"/>
    <w:rsid w:val="0051306B"/>
    <w:rsid w:val="0051359A"/>
    <w:rsid w:val="00513A0A"/>
    <w:rsid w:val="00513AC0"/>
    <w:rsid w:val="00514C2F"/>
    <w:rsid w:val="00514F07"/>
    <w:rsid w:val="0051522C"/>
    <w:rsid w:val="005169B9"/>
    <w:rsid w:val="00516B34"/>
    <w:rsid w:val="00517069"/>
    <w:rsid w:val="00517B15"/>
    <w:rsid w:val="00520CD3"/>
    <w:rsid w:val="00520EE2"/>
    <w:rsid w:val="00521825"/>
    <w:rsid w:val="00521890"/>
    <w:rsid w:val="005220C9"/>
    <w:rsid w:val="00522122"/>
    <w:rsid w:val="0052219A"/>
    <w:rsid w:val="00522CAB"/>
    <w:rsid w:val="005241C8"/>
    <w:rsid w:val="0052482C"/>
    <w:rsid w:val="0052557B"/>
    <w:rsid w:val="0052581A"/>
    <w:rsid w:val="00526425"/>
    <w:rsid w:val="005264B1"/>
    <w:rsid w:val="0052744F"/>
    <w:rsid w:val="0053262F"/>
    <w:rsid w:val="00532FDF"/>
    <w:rsid w:val="0053437C"/>
    <w:rsid w:val="00535B3A"/>
    <w:rsid w:val="00535F21"/>
    <w:rsid w:val="00536240"/>
    <w:rsid w:val="00542253"/>
    <w:rsid w:val="005422F1"/>
    <w:rsid w:val="00542513"/>
    <w:rsid w:val="005431C6"/>
    <w:rsid w:val="005433FA"/>
    <w:rsid w:val="00543DD2"/>
    <w:rsid w:val="005451A1"/>
    <w:rsid w:val="00545B4A"/>
    <w:rsid w:val="00545B6C"/>
    <w:rsid w:val="005463C0"/>
    <w:rsid w:val="005465E9"/>
    <w:rsid w:val="00546CFA"/>
    <w:rsid w:val="00550107"/>
    <w:rsid w:val="0055028B"/>
    <w:rsid w:val="005518EC"/>
    <w:rsid w:val="00551A31"/>
    <w:rsid w:val="00551A49"/>
    <w:rsid w:val="00551F07"/>
    <w:rsid w:val="00552732"/>
    <w:rsid w:val="00552CCA"/>
    <w:rsid w:val="005530F9"/>
    <w:rsid w:val="00553EB3"/>
    <w:rsid w:val="005542E4"/>
    <w:rsid w:val="0055443F"/>
    <w:rsid w:val="0055450E"/>
    <w:rsid w:val="005552F0"/>
    <w:rsid w:val="005557AD"/>
    <w:rsid w:val="00555E44"/>
    <w:rsid w:val="005563E9"/>
    <w:rsid w:val="005604BC"/>
    <w:rsid w:val="00560550"/>
    <w:rsid w:val="00560AE0"/>
    <w:rsid w:val="00561489"/>
    <w:rsid w:val="00561A2E"/>
    <w:rsid w:val="00562721"/>
    <w:rsid w:val="00564C38"/>
    <w:rsid w:val="00565474"/>
    <w:rsid w:val="00566382"/>
    <w:rsid w:val="005669E0"/>
    <w:rsid w:val="00566CF0"/>
    <w:rsid w:val="00567EBC"/>
    <w:rsid w:val="00570423"/>
    <w:rsid w:val="00571232"/>
    <w:rsid w:val="0057145B"/>
    <w:rsid w:val="00571C2D"/>
    <w:rsid w:val="00574410"/>
    <w:rsid w:val="005748E6"/>
    <w:rsid w:val="0057505D"/>
    <w:rsid w:val="00575222"/>
    <w:rsid w:val="00575E8D"/>
    <w:rsid w:val="00577A58"/>
    <w:rsid w:val="005801A4"/>
    <w:rsid w:val="00580274"/>
    <w:rsid w:val="005808A7"/>
    <w:rsid w:val="00581039"/>
    <w:rsid w:val="00583C42"/>
    <w:rsid w:val="005844D3"/>
    <w:rsid w:val="00584A8A"/>
    <w:rsid w:val="00585607"/>
    <w:rsid w:val="00585649"/>
    <w:rsid w:val="0058599A"/>
    <w:rsid w:val="00585F15"/>
    <w:rsid w:val="005866CC"/>
    <w:rsid w:val="00587209"/>
    <w:rsid w:val="00590113"/>
    <w:rsid w:val="00590D0C"/>
    <w:rsid w:val="00591818"/>
    <w:rsid w:val="005924B1"/>
    <w:rsid w:val="00592FFF"/>
    <w:rsid w:val="00593412"/>
    <w:rsid w:val="0059394A"/>
    <w:rsid w:val="00593BA2"/>
    <w:rsid w:val="00593DC0"/>
    <w:rsid w:val="00594CE5"/>
    <w:rsid w:val="005950C4"/>
    <w:rsid w:val="00595213"/>
    <w:rsid w:val="00595911"/>
    <w:rsid w:val="005969AD"/>
    <w:rsid w:val="005A10D4"/>
    <w:rsid w:val="005A2D5A"/>
    <w:rsid w:val="005A305A"/>
    <w:rsid w:val="005A31C5"/>
    <w:rsid w:val="005A40EB"/>
    <w:rsid w:val="005A54E5"/>
    <w:rsid w:val="005A6A0F"/>
    <w:rsid w:val="005A7BB0"/>
    <w:rsid w:val="005B0CE4"/>
    <w:rsid w:val="005B0E5B"/>
    <w:rsid w:val="005B11B9"/>
    <w:rsid w:val="005B261B"/>
    <w:rsid w:val="005B29B3"/>
    <w:rsid w:val="005B38FC"/>
    <w:rsid w:val="005B4B64"/>
    <w:rsid w:val="005B4CA8"/>
    <w:rsid w:val="005B4F7A"/>
    <w:rsid w:val="005B5E7E"/>
    <w:rsid w:val="005B6B03"/>
    <w:rsid w:val="005B73C1"/>
    <w:rsid w:val="005B7681"/>
    <w:rsid w:val="005B7D46"/>
    <w:rsid w:val="005B7E9E"/>
    <w:rsid w:val="005C0FB2"/>
    <w:rsid w:val="005C16E7"/>
    <w:rsid w:val="005C1B21"/>
    <w:rsid w:val="005C242E"/>
    <w:rsid w:val="005C27E9"/>
    <w:rsid w:val="005C2CE4"/>
    <w:rsid w:val="005C3883"/>
    <w:rsid w:val="005C4135"/>
    <w:rsid w:val="005C423F"/>
    <w:rsid w:val="005C4611"/>
    <w:rsid w:val="005C4644"/>
    <w:rsid w:val="005C491F"/>
    <w:rsid w:val="005C4F79"/>
    <w:rsid w:val="005C5206"/>
    <w:rsid w:val="005C56EF"/>
    <w:rsid w:val="005C65A3"/>
    <w:rsid w:val="005C67D0"/>
    <w:rsid w:val="005C683A"/>
    <w:rsid w:val="005C6C17"/>
    <w:rsid w:val="005C70FE"/>
    <w:rsid w:val="005C7541"/>
    <w:rsid w:val="005C7C29"/>
    <w:rsid w:val="005C7CE4"/>
    <w:rsid w:val="005D02A3"/>
    <w:rsid w:val="005D0953"/>
    <w:rsid w:val="005D1894"/>
    <w:rsid w:val="005D23E3"/>
    <w:rsid w:val="005D2FD4"/>
    <w:rsid w:val="005D420E"/>
    <w:rsid w:val="005D4535"/>
    <w:rsid w:val="005D4EEC"/>
    <w:rsid w:val="005D6EA6"/>
    <w:rsid w:val="005D7356"/>
    <w:rsid w:val="005D79F6"/>
    <w:rsid w:val="005E0137"/>
    <w:rsid w:val="005E02ED"/>
    <w:rsid w:val="005E1198"/>
    <w:rsid w:val="005E1856"/>
    <w:rsid w:val="005E1CEA"/>
    <w:rsid w:val="005E24EF"/>
    <w:rsid w:val="005E28BB"/>
    <w:rsid w:val="005E2FEA"/>
    <w:rsid w:val="005E3A28"/>
    <w:rsid w:val="005E3E21"/>
    <w:rsid w:val="005E42AD"/>
    <w:rsid w:val="005E526D"/>
    <w:rsid w:val="005E5394"/>
    <w:rsid w:val="005E53F2"/>
    <w:rsid w:val="005E62AF"/>
    <w:rsid w:val="005E6CA0"/>
    <w:rsid w:val="005E6F22"/>
    <w:rsid w:val="005E727A"/>
    <w:rsid w:val="005F0FC3"/>
    <w:rsid w:val="005F185D"/>
    <w:rsid w:val="005F2971"/>
    <w:rsid w:val="005F2EF6"/>
    <w:rsid w:val="005F3716"/>
    <w:rsid w:val="005F3F90"/>
    <w:rsid w:val="005F49C5"/>
    <w:rsid w:val="005F7274"/>
    <w:rsid w:val="005F7968"/>
    <w:rsid w:val="006012EB"/>
    <w:rsid w:val="00601420"/>
    <w:rsid w:val="00602B94"/>
    <w:rsid w:val="00602F9F"/>
    <w:rsid w:val="00603007"/>
    <w:rsid w:val="00603739"/>
    <w:rsid w:val="00603CCA"/>
    <w:rsid w:val="006060D7"/>
    <w:rsid w:val="00606DFB"/>
    <w:rsid w:val="00610534"/>
    <w:rsid w:val="00610C2D"/>
    <w:rsid w:val="00611144"/>
    <w:rsid w:val="0061353D"/>
    <w:rsid w:val="00613B6F"/>
    <w:rsid w:val="006145AD"/>
    <w:rsid w:val="006147FD"/>
    <w:rsid w:val="0061591D"/>
    <w:rsid w:val="00620158"/>
    <w:rsid w:val="006201A9"/>
    <w:rsid w:val="006210D8"/>
    <w:rsid w:val="00621AEE"/>
    <w:rsid w:val="00622F32"/>
    <w:rsid w:val="006237C2"/>
    <w:rsid w:val="00625E30"/>
    <w:rsid w:val="00630BF2"/>
    <w:rsid w:val="00630C09"/>
    <w:rsid w:val="00630F30"/>
    <w:rsid w:val="00631229"/>
    <w:rsid w:val="00632508"/>
    <w:rsid w:val="006326B2"/>
    <w:rsid w:val="0063299B"/>
    <w:rsid w:val="00632D0C"/>
    <w:rsid w:val="006339DA"/>
    <w:rsid w:val="00634154"/>
    <w:rsid w:val="00634217"/>
    <w:rsid w:val="006342AB"/>
    <w:rsid w:val="00634590"/>
    <w:rsid w:val="00634B5D"/>
    <w:rsid w:val="00634BF3"/>
    <w:rsid w:val="00636708"/>
    <w:rsid w:val="00637963"/>
    <w:rsid w:val="00640195"/>
    <w:rsid w:val="00640235"/>
    <w:rsid w:val="00640B92"/>
    <w:rsid w:val="006412E4"/>
    <w:rsid w:val="006414C0"/>
    <w:rsid w:val="00641620"/>
    <w:rsid w:val="006428A9"/>
    <w:rsid w:val="00643F10"/>
    <w:rsid w:val="006449C9"/>
    <w:rsid w:val="00644C76"/>
    <w:rsid w:val="00647211"/>
    <w:rsid w:val="00647526"/>
    <w:rsid w:val="00647B6C"/>
    <w:rsid w:val="0065004F"/>
    <w:rsid w:val="006506AD"/>
    <w:rsid w:val="006511F1"/>
    <w:rsid w:val="00651606"/>
    <w:rsid w:val="00651CBF"/>
    <w:rsid w:val="006521F1"/>
    <w:rsid w:val="0065418C"/>
    <w:rsid w:val="00655339"/>
    <w:rsid w:val="0065535E"/>
    <w:rsid w:val="00655390"/>
    <w:rsid w:val="006556A8"/>
    <w:rsid w:val="006558C3"/>
    <w:rsid w:val="00655B3D"/>
    <w:rsid w:val="00655CFC"/>
    <w:rsid w:val="00656149"/>
    <w:rsid w:val="00656304"/>
    <w:rsid w:val="006567F4"/>
    <w:rsid w:val="00656954"/>
    <w:rsid w:val="0065698D"/>
    <w:rsid w:val="00657C7A"/>
    <w:rsid w:val="00660334"/>
    <w:rsid w:val="0066119A"/>
    <w:rsid w:val="00661EA1"/>
    <w:rsid w:val="0066224B"/>
    <w:rsid w:val="006633B8"/>
    <w:rsid w:val="00663D90"/>
    <w:rsid w:val="006642B6"/>
    <w:rsid w:val="00664529"/>
    <w:rsid w:val="00664EA0"/>
    <w:rsid w:val="0066634D"/>
    <w:rsid w:val="00666371"/>
    <w:rsid w:val="00666CBB"/>
    <w:rsid w:val="00666EB6"/>
    <w:rsid w:val="00667664"/>
    <w:rsid w:val="006677BB"/>
    <w:rsid w:val="0067014A"/>
    <w:rsid w:val="0067037A"/>
    <w:rsid w:val="006707D3"/>
    <w:rsid w:val="00670B70"/>
    <w:rsid w:val="00670EE3"/>
    <w:rsid w:val="00671B09"/>
    <w:rsid w:val="00671E31"/>
    <w:rsid w:val="00672152"/>
    <w:rsid w:val="00672F8A"/>
    <w:rsid w:val="006731F3"/>
    <w:rsid w:val="006738AF"/>
    <w:rsid w:val="00673F23"/>
    <w:rsid w:val="00674545"/>
    <w:rsid w:val="00674BF4"/>
    <w:rsid w:val="006763E9"/>
    <w:rsid w:val="00676D29"/>
    <w:rsid w:val="00676F40"/>
    <w:rsid w:val="00682662"/>
    <w:rsid w:val="0068467E"/>
    <w:rsid w:val="00684961"/>
    <w:rsid w:val="00685D42"/>
    <w:rsid w:val="00685DBF"/>
    <w:rsid w:val="00685EC0"/>
    <w:rsid w:val="00686758"/>
    <w:rsid w:val="00690466"/>
    <w:rsid w:val="00691624"/>
    <w:rsid w:val="00691AA7"/>
    <w:rsid w:val="00695725"/>
    <w:rsid w:val="00695952"/>
    <w:rsid w:val="00695A4C"/>
    <w:rsid w:val="00695AB0"/>
    <w:rsid w:val="00696D19"/>
    <w:rsid w:val="00696FB2"/>
    <w:rsid w:val="006972B9"/>
    <w:rsid w:val="00697BD9"/>
    <w:rsid w:val="006A00FE"/>
    <w:rsid w:val="006A024B"/>
    <w:rsid w:val="006A21D0"/>
    <w:rsid w:val="006A2205"/>
    <w:rsid w:val="006A2E5B"/>
    <w:rsid w:val="006A3181"/>
    <w:rsid w:val="006A3BCB"/>
    <w:rsid w:val="006A53D5"/>
    <w:rsid w:val="006A5ADC"/>
    <w:rsid w:val="006A6639"/>
    <w:rsid w:val="006A7838"/>
    <w:rsid w:val="006B0E21"/>
    <w:rsid w:val="006B131B"/>
    <w:rsid w:val="006B2627"/>
    <w:rsid w:val="006B2AE0"/>
    <w:rsid w:val="006B4112"/>
    <w:rsid w:val="006B4B67"/>
    <w:rsid w:val="006B5B69"/>
    <w:rsid w:val="006B5BD4"/>
    <w:rsid w:val="006B61A1"/>
    <w:rsid w:val="006B6921"/>
    <w:rsid w:val="006B6B15"/>
    <w:rsid w:val="006B6DAF"/>
    <w:rsid w:val="006B6E1C"/>
    <w:rsid w:val="006B7113"/>
    <w:rsid w:val="006B792C"/>
    <w:rsid w:val="006C0348"/>
    <w:rsid w:val="006C0A2D"/>
    <w:rsid w:val="006C0BD1"/>
    <w:rsid w:val="006C0CCF"/>
    <w:rsid w:val="006C20E0"/>
    <w:rsid w:val="006C29E1"/>
    <w:rsid w:val="006C2F56"/>
    <w:rsid w:val="006C35F0"/>
    <w:rsid w:val="006C465B"/>
    <w:rsid w:val="006C4F64"/>
    <w:rsid w:val="006C5E02"/>
    <w:rsid w:val="006C62C0"/>
    <w:rsid w:val="006C6376"/>
    <w:rsid w:val="006C696F"/>
    <w:rsid w:val="006C6B35"/>
    <w:rsid w:val="006C7B62"/>
    <w:rsid w:val="006C7C34"/>
    <w:rsid w:val="006C7C53"/>
    <w:rsid w:val="006D0B24"/>
    <w:rsid w:val="006D116C"/>
    <w:rsid w:val="006D1770"/>
    <w:rsid w:val="006D195D"/>
    <w:rsid w:val="006D311D"/>
    <w:rsid w:val="006D5962"/>
    <w:rsid w:val="006D64B8"/>
    <w:rsid w:val="006D6B7F"/>
    <w:rsid w:val="006D7972"/>
    <w:rsid w:val="006D7B0A"/>
    <w:rsid w:val="006E2277"/>
    <w:rsid w:val="006E27D1"/>
    <w:rsid w:val="006E2BC9"/>
    <w:rsid w:val="006E2D34"/>
    <w:rsid w:val="006E30F6"/>
    <w:rsid w:val="006E34BF"/>
    <w:rsid w:val="006E458D"/>
    <w:rsid w:val="006E55BF"/>
    <w:rsid w:val="006E5655"/>
    <w:rsid w:val="006E59CF"/>
    <w:rsid w:val="006E5B4F"/>
    <w:rsid w:val="006E5F19"/>
    <w:rsid w:val="006E6667"/>
    <w:rsid w:val="006E685F"/>
    <w:rsid w:val="006E6DF8"/>
    <w:rsid w:val="006E715D"/>
    <w:rsid w:val="006E7D43"/>
    <w:rsid w:val="006F0BCD"/>
    <w:rsid w:val="006F0C0A"/>
    <w:rsid w:val="006F13FA"/>
    <w:rsid w:val="006F2478"/>
    <w:rsid w:val="006F30A0"/>
    <w:rsid w:val="006F3462"/>
    <w:rsid w:val="006F3E75"/>
    <w:rsid w:val="00700F69"/>
    <w:rsid w:val="00701ACB"/>
    <w:rsid w:val="007023B7"/>
    <w:rsid w:val="0070362A"/>
    <w:rsid w:val="00703CAD"/>
    <w:rsid w:val="0070422F"/>
    <w:rsid w:val="00704408"/>
    <w:rsid w:val="007045DE"/>
    <w:rsid w:val="00706C85"/>
    <w:rsid w:val="007071A7"/>
    <w:rsid w:val="00707399"/>
    <w:rsid w:val="007109E3"/>
    <w:rsid w:val="00712CDD"/>
    <w:rsid w:val="00712DC4"/>
    <w:rsid w:val="00714F63"/>
    <w:rsid w:val="0071537E"/>
    <w:rsid w:val="0071555E"/>
    <w:rsid w:val="007155D8"/>
    <w:rsid w:val="00715CF5"/>
    <w:rsid w:val="00716527"/>
    <w:rsid w:val="0071707D"/>
    <w:rsid w:val="007176A0"/>
    <w:rsid w:val="00717D75"/>
    <w:rsid w:val="0072035B"/>
    <w:rsid w:val="007215C8"/>
    <w:rsid w:val="00721709"/>
    <w:rsid w:val="007217DC"/>
    <w:rsid w:val="00722B3F"/>
    <w:rsid w:val="0072306B"/>
    <w:rsid w:val="007243BF"/>
    <w:rsid w:val="007249DD"/>
    <w:rsid w:val="00724F4A"/>
    <w:rsid w:val="0072550A"/>
    <w:rsid w:val="00725A44"/>
    <w:rsid w:val="007269ED"/>
    <w:rsid w:val="00726A32"/>
    <w:rsid w:val="007271FC"/>
    <w:rsid w:val="007301F6"/>
    <w:rsid w:val="00730790"/>
    <w:rsid w:val="00731625"/>
    <w:rsid w:val="00731A21"/>
    <w:rsid w:val="0073304A"/>
    <w:rsid w:val="007343CC"/>
    <w:rsid w:val="0073528B"/>
    <w:rsid w:val="00735442"/>
    <w:rsid w:val="007355B1"/>
    <w:rsid w:val="007362E7"/>
    <w:rsid w:val="00736EF2"/>
    <w:rsid w:val="007370C2"/>
    <w:rsid w:val="00740114"/>
    <w:rsid w:val="007408D3"/>
    <w:rsid w:val="007435A6"/>
    <w:rsid w:val="00743D66"/>
    <w:rsid w:val="00743DDA"/>
    <w:rsid w:val="00745917"/>
    <w:rsid w:val="007472B3"/>
    <w:rsid w:val="00747692"/>
    <w:rsid w:val="00747766"/>
    <w:rsid w:val="00750026"/>
    <w:rsid w:val="00750D3B"/>
    <w:rsid w:val="0075383D"/>
    <w:rsid w:val="0075488B"/>
    <w:rsid w:val="00755199"/>
    <w:rsid w:val="00755B71"/>
    <w:rsid w:val="00755FFD"/>
    <w:rsid w:val="00757390"/>
    <w:rsid w:val="00757EBE"/>
    <w:rsid w:val="00760BE4"/>
    <w:rsid w:val="00762416"/>
    <w:rsid w:val="007625C6"/>
    <w:rsid w:val="00762E18"/>
    <w:rsid w:val="00764CCE"/>
    <w:rsid w:val="00765A59"/>
    <w:rsid w:val="00765B2A"/>
    <w:rsid w:val="0076676A"/>
    <w:rsid w:val="007668C6"/>
    <w:rsid w:val="00767213"/>
    <w:rsid w:val="007678D6"/>
    <w:rsid w:val="00771A3F"/>
    <w:rsid w:val="007727DE"/>
    <w:rsid w:val="007738E2"/>
    <w:rsid w:val="00773DC4"/>
    <w:rsid w:val="0077438C"/>
    <w:rsid w:val="00774B00"/>
    <w:rsid w:val="00776068"/>
    <w:rsid w:val="007761C1"/>
    <w:rsid w:val="00776F25"/>
    <w:rsid w:val="00777602"/>
    <w:rsid w:val="00777E6D"/>
    <w:rsid w:val="00780487"/>
    <w:rsid w:val="0078066E"/>
    <w:rsid w:val="00781A02"/>
    <w:rsid w:val="00782065"/>
    <w:rsid w:val="00782D8E"/>
    <w:rsid w:val="007833B1"/>
    <w:rsid w:val="007837C7"/>
    <w:rsid w:val="0078531A"/>
    <w:rsid w:val="00785456"/>
    <w:rsid w:val="007870BE"/>
    <w:rsid w:val="00787E14"/>
    <w:rsid w:val="00787EE5"/>
    <w:rsid w:val="0079102B"/>
    <w:rsid w:val="007925B1"/>
    <w:rsid w:val="0079291B"/>
    <w:rsid w:val="00793380"/>
    <w:rsid w:val="007935D9"/>
    <w:rsid w:val="00793BE0"/>
    <w:rsid w:val="00793FD8"/>
    <w:rsid w:val="00796072"/>
    <w:rsid w:val="0079680B"/>
    <w:rsid w:val="0079759A"/>
    <w:rsid w:val="00797A8E"/>
    <w:rsid w:val="00797CEE"/>
    <w:rsid w:val="00797FDB"/>
    <w:rsid w:val="007A141E"/>
    <w:rsid w:val="007A286E"/>
    <w:rsid w:val="007A333A"/>
    <w:rsid w:val="007A3F8C"/>
    <w:rsid w:val="007A43D0"/>
    <w:rsid w:val="007A4405"/>
    <w:rsid w:val="007A4A67"/>
    <w:rsid w:val="007A4B23"/>
    <w:rsid w:val="007A4ED5"/>
    <w:rsid w:val="007A4F67"/>
    <w:rsid w:val="007A5A15"/>
    <w:rsid w:val="007A6EAC"/>
    <w:rsid w:val="007A78E2"/>
    <w:rsid w:val="007A7B96"/>
    <w:rsid w:val="007A7BC5"/>
    <w:rsid w:val="007A7D3A"/>
    <w:rsid w:val="007B0013"/>
    <w:rsid w:val="007B01B4"/>
    <w:rsid w:val="007B0475"/>
    <w:rsid w:val="007B098F"/>
    <w:rsid w:val="007B11D7"/>
    <w:rsid w:val="007B149C"/>
    <w:rsid w:val="007B1789"/>
    <w:rsid w:val="007B1E63"/>
    <w:rsid w:val="007B3008"/>
    <w:rsid w:val="007B4B42"/>
    <w:rsid w:val="007B4DAD"/>
    <w:rsid w:val="007B4E04"/>
    <w:rsid w:val="007B4F0D"/>
    <w:rsid w:val="007B52E9"/>
    <w:rsid w:val="007B76BE"/>
    <w:rsid w:val="007C08D0"/>
    <w:rsid w:val="007C0B18"/>
    <w:rsid w:val="007C10AB"/>
    <w:rsid w:val="007C12CF"/>
    <w:rsid w:val="007C201E"/>
    <w:rsid w:val="007C2732"/>
    <w:rsid w:val="007C2EF2"/>
    <w:rsid w:val="007C367B"/>
    <w:rsid w:val="007C391F"/>
    <w:rsid w:val="007C3A9A"/>
    <w:rsid w:val="007C3BC8"/>
    <w:rsid w:val="007C3E88"/>
    <w:rsid w:val="007C4779"/>
    <w:rsid w:val="007C51DD"/>
    <w:rsid w:val="007C52AF"/>
    <w:rsid w:val="007C5817"/>
    <w:rsid w:val="007C5AA7"/>
    <w:rsid w:val="007C664D"/>
    <w:rsid w:val="007C7CA7"/>
    <w:rsid w:val="007C7FF0"/>
    <w:rsid w:val="007C7FF4"/>
    <w:rsid w:val="007D08CD"/>
    <w:rsid w:val="007D27CA"/>
    <w:rsid w:val="007D4338"/>
    <w:rsid w:val="007D5670"/>
    <w:rsid w:val="007D6566"/>
    <w:rsid w:val="007E0620"/>
    <w:rsid w:val="007E07C1"/>
    <w:rsid w:val="007E0821"/>
    <w:rsid w:val="007E1E8C"/>
    <w:rsid w:val="007E264A"/>
    <w:rsid w:val="007E2E1A"/>
    <w:rsid w:val="007E357C"/>
    <w:rsid w:val="007E3C49"/>
    <w:rsid w:val="007E40BD"/>
    <w:rsid w:val="007E4181"/>
    <w:rsid w:val="007E4883"/>
    <w:rsid w:val="007E4E2E"/>
    <w:rsid w:val="007E5354"/>
    <w:rsid w:val="007E5811"/>
    <w:rsid w:val="007F20CE"/>
    <w:rsid w:val="007F3AA8"/>
    <w:rsid w:val="007F3ED3"/>
    <w:rsid w:val="007F4A05"/>
    <w:rsid w:val="007F4DC3"/>
    <w:rsid w:val="007F56BE"/>
    <w:rsid w:val="007F5905"/>
    <w:rsid w:val="007F6089"/>
    <w:rsid w:val="007F641E"/>
    <w:rsid w:val="007F66A8"/>
    <w:rsid w:val="007F72E1"/>
    <w:rsid w:val="007F7936"/>
    <w:rsid w:val="0080007F"/>
    <w:rsid w:val="00800326"/>
    <w:rsid w:val="0080148C"/>
    <w:rsid w:val="008016A0"/>
    <w:rsid w:val="00805A73"/>
    <w:rsid w:val="00805A8C"/>
    <w:rsid w:val="00805BED"/>
    <w:rsid w:val="008100E9"/>
    <w:rsid w:val="0081072E"/>
    <w:rsid w:val="0081079F"/>
    <w:rsid w:val="00810B79"/>
    <w:rsid w:val="008111E3"/>
    <w:rsid w:val="00811DE4"/>
    <w:rsid w:val="00811F16"/>
    <w:rsid w:val="008124E9"/>
    <w:rsid w:val="008132FE"/>
    <w:rsid w:val="008136AE"/>
    <w:rsid w:val="008147E3"/>
    <w:rsid w:val="0081595E"/>
    <w:rsid w:val="008162A0"/>
    <w:rsid w:val="008165F9"/>
    <w:rsid w:val="00817162"/>
    <w:rsid w:val="00817FB2"/>
    <w:rsid w:val="008208F4"/>
    <w:rsid w:val="00820E00"/>
    <w:rsid w:val="008218A6"/>
    <w:rsid w:val="008229BA"/>
    <w:rsid w:val="0082318A"/>
    <w:rsid w:val="008231F3"/>
    <w:rsid w:val="00824E74"/>
    <w:rsid w:val="00825DCB"/>
    <w:rsid w:val="00826C43"/>
    <w:rsid w:val="00827A19"/>
    <w:rsid w:val="00830043"/>
    <w:rsid w:val="00830C61"/>
    <w:rsid w:val="008312E6"/>
    <w:rsid w:val="0083200A"/>
    <w:rsid w:val="00832A95"/>
    <w:rsid w:val="00832C5E"/>
    <w:rsid w:val="00833326"/>
    <w:rsid w:val="00833553"/>
    <w:rsid w:val="008336B7"/>
    <w:rsid w:val="00834DE3"/>
    <w:rsid w:val="0083593E"/>
    <w:rsid w:val="00836E05"/>
    <w:rsid w:val="008372CF"/>
    <w:rsid w:val="00837349"/>
    <w:rsid w:val="00840DA6"/>
    <w:rsid w:val="00840DB3"/>
    <w:rsid w:val="00840FE0"/>
    <w:rsid w:val="00841D95"/>
    <w:rsid w:val="00842FC0"/>
    <w:rsid w:val="00843507"/>
    <w:rsid w:val="008440E1"/>
    <w:rsid w:val="00844FB4"/>
    <w:rsid w:val="008451D4"/>
    <w:rsid w:val="00845287"/>
    <w:rsid w:val="00845C1D"/>
    <w:rsid w:val="0084656E"/>
    <w:rsid w:val="008473EF"/>
    <w:rsid w:val="0084790E"/>
    <w:rsid w:val="00847D2F"/>
    <w:rsid w:val="00851DA6"/>
    <w:rsid w:val="008521A8"/>
    <w:rsid w:val="0085247F"/>
    <w:rsid w:val="0085253C"/>
    <w:rsid w:val="00852D44"/>
    <w:rsid w:val="00852FFD"/>
    <w:rsid w:val="008538A4"/>
    <w:rsid w:val="008538C9"/>
    <w:rsid w:val="00853A0D"/>
    <w:rsid w:val="00854154"/>
    <w:rsid w:val="0085502F"/>
    <w:rsid w:val="00856023"/>
    <w:rsid w:val="00857016"/>
    <w:rsid w:val="008576A8"/>
    <w:rsid w:val="00857B49"/>
    <w:rsid w:val="00860518"/>
    <w:rsid w:val="008610B6"/>
    <w:rsid w:val="0086191D"/>
    <w:rsid w:val="008631E5"/>
    <w:rsid w:val="008636D7"/>
    <w:rsid w:val="008639E9"/>
    <w:rsid w:val="00864238"/>
    <w:rsid w:val="008659CE"/>
    <w:rsid w:val="00865AAD"/>
    <w:rsid w:val="00866AE2"/>
    <w:rsid w:val="00866C88"/>
    <w:rsid w:val="00866CD4"/>
    <w:rsid w:val="00866E07"/>
    <w:rsid w:val="00870614"/>
    <w:rsid w:val="00870814"/>
    <w:rsid w:val="00871911"/>
    <w:rsid w:val="00871F4D"/>
    <w:rsid w:val="00872747"/>
    <w:rsid w:val="00872F8D"/>
    <w:rsid w:val="008736A2"/>
    <w:rsid w:val="00873CCF"/>
    <w:rsid w:val="0087452F"/>
    <w:rsid w:val="00874703"/>
    <w:rsid w:val="00874AE9"/>
    <w:rsid w:val="00874E00"/>
    <w:rsid w:val="008751B4"/>
    <w:rsid w:val="00876596"/>
    <w:rsid w:val="008765C7"/>
    <w:rsid w:val="00876ABB"/>
    <w:rsid w:val="008773CE"/>
    <w:rsid w:val="00877E78"/>
    <w:rsid w:val="00877F8B"/>
    <w:rsid w:val="00880A85"/>
    <w:rsid w:val="00880C90"/>
    <w:rsid w:val="008811F0"/>
    <w:rsid w:val="00881B31"/>
    <w:rsid w:val="008837D5"/>
    <w:rsid w:val="00884122"/>
    <w:rsid w:val="008848F3"/>
    <w:rsid w:val="00884D4C"/>
    <w:rsid w:val="008854C2"/>
    <w:rsid w:val="00885793"/>
    <w:rsid w:val="0088695E"/>
    <w:rsid w:val="00886A65"/>
    <w:rsid w:val="008874CE"/>
    <w:rsid w:val="00887CFE"/>
    <w:rsid w:val="00890696"/>
    <w:rsid w:val="00892BE1"/>
    <w:rsid w:val="00892FED"/>
    <w:rsid w:val="00893590"/>
    <w:rsid w:val="0089369E"/>
    <w:rsid w:val="0089383E"/>
    <w:rsid w:val="00893853"/>
    <w:rsid w:val="00895B54"/>
    <w:rsid w:val="008967FF"/>
    <w:rsid w:val="0089695F"/>
    <w:rsid w:val="00896CE4"/>
    <w:rsid w:val="0089724B"/>
    <w:rsid w:val="008A0C38"/>
    <w:rsid w:val="008A1CC3"/>
    <w:rsid w:val="008A20AE"/>
    <w:rsid w:val="008A3299"/>
    <w:rsid w:val="008A546C"/>
    <w:rsid w:val="008A5868"/>
    <w:rsid w:val="008A5FA3"/>
    <w:rsid w:val="008A6F8B"/>
    <w:rsid w:val="008A742B"/>
    <w:rsid w:val="008B1A06"/>
    <w:rsid w:val="008B36BD"/>
    <w:rsid w:val="008B3FB0"/>
    <w:rsid w:val="008B54D1"/>
    <w:rsid w:val="008B760C"/>
    <w:rsid w:val="008C0084"/>
    <w:rsid w:val="008C029B"/>
    <w:rsid w:val="008C0CB4"/>
    <w:rsid w:val="008C1785"/>
    <w:rsid w:val="008C1C52"/>
    <w:rsid w:val="008C1E0D"/>
    <w:rsid w:val="008C226A"/>
    <w:rsid w:val="008C3CEF"/>
    <w:rsid w:val="008C3DE9"/>
    <w:rsid w:val="008C428E"/>
    <w:rsid w:val="008C48B7"/>
    <w:rsid w:val="008C5CEA"/>
    <w:rsid w:val="008C5D0F"/>
    <w:rsid w:val="008C73BF"/>
    <w:rsid w:val="008C7C5A"/>
    <w:rsid w:val="008D0073"/>
    <w:rsid w:val="008D0397"/>
    <w:rsid w:val="008D0D01"/>
    <w:rsid w:val="008D0ECB"/>
    <w:rsid w:val="008D1101"/>
    <w:rsid w:val="008D144B"/>
    <w:rsid w:val="008D1C2A"/>
    <w:rsid w:val="008D257F"/>
    <w:rsid w:val="008D29D3"/>
    <w:rsid w:val="008D2BBB"/>
    <w:rsid w:val="008D314A"/>
    <w:rsid w:val="008D3AD0"/>
    <w:rsid w:val="008D3BCA"/>
    <w:rsid w:val="008D40A8"/>
    <w:rsid w:val="008D44FA"/>
    <w:rsid w:val="008D511C"/>
    <w:rsid w:val="008D5859"/>
    <w:rsid w:val="008D6272"/>
    <w:rsid w:val="008D67C1"/>
    <w:rsid w:val="008D697E"/>
    <w:rsid w:val="008D6C3C"/>
    <w:rsid w:val="008D7C9A"/>
    <w:rsid w:val="008E0A73"/>
    <w:rsid w:val="008E0B00"/>
    <w:rsid w:val="008E0C62"/>
    <w:rsid w:val="008E1198"/>
    <w:rsid w:val="008E1744"/>
    <w:rsid w:val="008E2066"/>
    <w:rsid w:val="008E2459"/>
    <w:rsid w:val="008E4153"/>
    <w:rsid w:val="008E474E"/>
    <w:rsid w:val="008E5D34"/>
    <w:rsid w:val="008E609D"/>
    <w:rsid w:val="008E60AD"/>
    <w:rsid w:val="008E6A15"/>
    <w:rsid w:val="008E78DC"/>
    <w:rsid w:val="008E7F56"/>
    <w:rsid w:val="008F309A"/>
    <w:rsid w:val="008F3637"/>
    <w:rsid w:val="008F3D27"/>
    <w:rsid w:val="008F47F1"/>
    <w:rsid w:val="008F562F"/>
    <w:rsid w:val="008F60DC"/>
    <w:rsid w:val="008F6158"/>
    <w:rsid w:val="008F6241"/>
    <w:rsid w:val="008F625E"/>
    <w:rsid w:val="008F665C"/>
    <w:rsid w:val="008F7D64"/>
    <w:rsid w:val="009003C7"/>
    <w:rsid w:val="0090043B"/>
    <w:rsid w:val="00900DE5"/>
    <w:rsid w:val="009015F5"/>
    <w:rsid w:val="009030B1"/>
    <w:rsid w:val="00904CA6"/>
    <w:rsid w:val="009050ED"/>
    <w:rsid w:val="0090756E"/>
    <w:rsid w:val="0091186F"/>
    <w:rsid w:val="009136CB"/>
    <w:rsid w:val="00913BB8"/>
    <w:rsid w:val="00913C74"/>
    <w:rsid w:val="00914326"/>
    <w:rsid w:val="00914400"/>
    <w:rsid w:val="0091589E"/>
    <w:rsid w:val="009159A6"/>
    <w:rsid w:val="009159C7"/>
    <w:rsid w:val="00917F30"/>
    <w:rsid w:val="00920727"/>
    <w:rsid w:val="009216EB"/>
    <w:rsid w:val="00921AF7"/>
    <w:rsid w:val="00921C2D"/>
    <w:rsid w:val="009232FA"/>
    <w:rsid w:val="00923F97"/>
    <w:rsid w:val="0092475F"/>
    <w:rsid w:val="0092500A"/>
    <w:rsid w:val="009256FB"/>
    <w:rsid w:val="009260D7"/>
    <w:rsid w:val="00926CC2"/>
    <w:rsid w:val="00926EB4"/>
    <w:rsid w:val="00927106"/>
    <w:rsid w:val="009300B3"/>
    <w:rsid w:val="00930E7A"/>
    <w:rsid w:val="0093141D"/>
    <w:rsid w:val="00931710"/>
    <w:rsid w:val="00931AEE"/>
    <w:rsid w:val="00931F9D"/>
    <w:rsid w:val="00932C17"/>
    <w:rsid w:val="00933C1A"/>
    <w:rsid w:val="00934197"/>
    <w:rsid w:val="009348F1"/>
    <w:rsid w:val="00934F7F"/>
    <w:rsid w:val="009350CE"/>
    <w:rsid w:val="0093556C"/>
    <w:rsid w:val="00935645"/>
    <w:rsid w:val="00936F0D"/>
    <w:rsid w:val="00937532"/>
    <w:rsid w:val="00937674"/>
    <w:rsid w:val="00940B0C"/>
    <w:rsid w:val="00941F92"/>
    <w:rsid w:val="0094266F"/>
    <w:rsid w:val="009431CF"/>
    <w:rsid w:val="00943792"/>
    <w:rsid w:val="00943939"/>
    <w:rsid w:val="00943BDF"/>
    <w:rsid w:val="0094462B"/>
    <w:rsid w:val="0094502D"/>
    <w:rsid w:val="00946102"/>
    <w:rsid w:val="009467CA"/>
    <w:rsid w:val="00946B14"/>
    <w:rsid w:val="00946BC1"/>
    <w:rsid w:val="00947BB6"/>
    <w:rsid w:val="00950C93"/>
    <w:rsid w:val="009513C8"/>
    <w:rsid w:val="009518A0"/>
    <w:rsid w:val="0095345D"/>
    <w:rsid w:val="0095364A"/>
    <w:rsid w:val="0095458B"/>
    <w:rsid w:val="00954629"/>
    <w:rsid w:val="00954848"/>
    <w:rsid w:val="00954AEC"/>
    <w:rsid w:val="00955B10"/>
    <w:rsid w:val="00955E6B"/>
    <w:rsid w:val="0095614A"/>
    <w:rsid w:val="00960870"/>
    <w:rsid w:val="009616A4"/>
    <w:rsid w:val="0096173D"/>
    <w:rsid w:val="0096174D"/>
    <w:rsid w:val="00962D9E"/>
    <w:rsid w:val="009632A1"/>
    <w:rsid w:val="00964BF1"/>
    <w:rsid w:val="00965481"/>
    <w:rsid w:val="00965FE1"/>
    <w:rsid w:val="009661B0"/>
    <w:rsid w:val="00966569"/>
    <w:rsid w:val="009669EC"/>
    <w:rsid w:val="00966E54"/>
    <w:rsid w:val="00967977"/>
    <w:rsid w:val="00967CC9"/>
    <w:rsid w:val="009710C0"/>
    <w:rsid w:val="00971A35"/>
    <w:rsid w:val="0097292C"/>
    <w:rsid w:val="00972AAC"/>
    <w:rsid w:val="009732A6"/>
    <w:rsid w:val="009738A4"/>
    <w:rsid w:val="00974EDD"/>
    <w:rsid w:val="00975516"/>
    <w:rsid w:val="00975BD4"/>
    <w:rsid w:val="00976831"/>
    <w:rsid w:val="00977413"/>
    <w:rsid w:val="00977B20"/>
    <w:rsid w:val="00977BBB"/>
    <w:rsid w:val="00977E79"/>
    <w:rsid w:val="0098019D"/>
    <w:rsid w:val="00980653"/>
    <w:rsid w:val="00980709"/>
    <w:rsid w:val="00980E3C"/>
    <w:rsid w:val="009810A4"/>
    <w:rsid w:val="00981393"/>
    <w:rsid w:val="00981AEE"/>
    <w:rsid w:val="00982D5B"/>
    <w:rsid w:val="009831C3"/>
    <w:rsid w:val="00983CA1"/>
    <w:rsid w:val="00983DCA"/>
    <w:rsid w:val="00984044"/>
    <w:rsid w:val="00985517"/>
    <w:rsid w:val="00985612"/>
    <w:rsid w:val="0098590F"/>
    <w:rsid w:val="00986160"/>
    <w:rsid w:val="009864CF"/>
    <w:rsid w:val="00987BE5"/>
    <w:rsid w:val="0099004F"/>
    <w:rsid w:val="009903FD"/>
    <w:rsid w:val="00990A37"/>
    <w:rsid w:val="00991197"/>
    <w:rsid w:val="00992633"/>
    <w:rsid w:val="00993BF1"/>
    <w:rsid w:val="0099475D"/>
    <w:rsid w:val="00994ED0"/>
    <w:rsid w:val="00995E00"/>
    <w:rsid w:val="009A0654"/>
    <w:rsid w:val="009A0FBB"/>
    <w:rsid w:val="009A0FD5"/>
    <w:rsid w:val="009A1D3F"/>
    <w:rsid w:val="009A48C4"/>
    <w:rsid w:val="009A4E90"/>
    <w:rsid w:val="009A705A"/>
    <w:rsid w:val="009A755F"/>
    <w:rsid w:val="009B0B79"/>
    <w:rsid w:val="009B338C"/>
    <w:rsid w:val="009B4C82"/>
    <w:rsid w:val="009B5089"/>
    <w:rsid w:val="009B5134"/>
    <w:rsid w:val="009B5BFC"/>
    <w:rsid w:val="009B6322"/>
    <w:rsid w:val="009B7330"/>
    <w:rsid w:val="009B7B47"/>
    <w:rsid w:val="009C09A8"/>
    <w:rsid w:val="009C0ACC"/>
    <w:rsid w:val="009C11DA"/>
    <w:rsid w:val="009C1A8A"/>
    <w:rsid w:val="009C278A"/>
    <w:rsid w:val="009C29DB"/>
    <w:rsid w:val="009C359C"/>
    <w:rsid w:val="009C3669"/>
    <w:rsid w:val="009C38E7"/>
    <w:rsid w:val="009C38EA"/>
    <w:rsid w:val="009C4F22"/>
    <w:rsid w:val="009C59DE"/>
    <w:rsid w:val="009C6177"/>
    <w:rsid w:val="009C6C6E"/>
    <w:rsid w:val="009C6E39"/>
    <w:rsid w:val="009C78F6"/>
    <w:rsid w:val="009D0645"/>
    <w:rsid w:val="009D1012"/>
    <w:rsid w:val="009D11CF"/>
    <w:rsid w:val="009D1603"/>
    <w:rsid w:val="009D1710"/>
    <w:rsid w:val="009D217D"/>
    <w:rsid w:val="009D3060"/>
    <w:rsid w:val="009D3A8A"/>
    <w:rsid w:val="009D3CC2"/>
    <w:rsid w:val="009D5304"/>
    <w:rsid w:val="009D53E0"/>
    <w:rsid w:val="009D5DB8"/>
    <w:rsid w:val="009D6008"/>
    <w:rsid w:val="009D725A"/>
    <w:rsid w:val="009E02F5"/>
    <w:rsid w:val="009E07EB"/>
    <w:rsid w:val="009E0B86"/>
    <w:rsid w:val="009E1772"/>
    <w:rsid w:val="009E1C2B"/>
    <w:rsid w:val="009E3978"/>
    <w:rsid w:val="009E4256"/>
    <w:rsid w:val="009E4AB7"/>
    <w:rsid w:val="009E4AD9"/>
    <w:rsid w:val="009E5799"/>
    <w:rsid w:val="009E6293"/>
    <w:rsid w:val="009E658A"/>
    <w:rsid w:val="009E7C72"/>
    <w:rsid w:val="009E7CCE"/>
    <w:rsid w:val="009F0915"/>
    <w:rsid w:val="009F126B"/>
    <w:rsid w:val="009F139E"/>
    <w:rsid w:val="009F2321"/>
    <w:rsid w:val="009F3988"/>
    <w:rsid w:val="009F39DC"/>
    <w:rsid w:val="009F51F6"/>
    <w:rsid w:val="009F567F"/>
    <w:rsid w:val="009F5777"/>
    <w:rsid w:val="009F664E"/>
    <w:rsid w:val="009F6A7A"/>
    <w:rsid w:val="009F6D63"/>
    <w:rsid w:val="009F71CD"/>
    <w:rsid w:val="009F7419"/>
    <w:rsid w:val="009F751D"/>
    <w:rsid w:val="009F765E"/>
    <w:rsid w:val="00A00406"/>
    <w:rsid w:val="00A00775"/>
    <w:rsid w:val="00A01136"/>
    <w:rsid w:val="00A011E3"/>
    <w:rsid w:val="00A04AFF"/>
    <w:rsid w:val="00A05082"/>
    <w:rsid w:val="00A05839"/>
    <w:rsid w:val="00A05A96"/>
    <w:rsid w:val="00A07468"/>
    <w:rsid w:val="00A0750D"/>
    <w:rsid w:val="00A07A5F"/>
    <w:rsid w:val="00A100E2"/>
    <w:rsid w:val="00A1076B"/>
    <w:rsid w:val="00A10B08"/>
    <w:rsid w:val="00A11091"/>
    <w:rsid w:val="00A11B0F"/>
    <w:rsid w:val="00A11F90"/>
    <w:rsid w:val="00A128F5"/>
    <w:rsid w:val="00A14D4C"/>
    <w:rsid w:val="00A15FFB"/>
    <w:rsid w:val="00A172D8"/>
    <w:rsid w:val="00A20E3A"/>
    <w:rsid w:val="00A221EB"/>
    <w:rsid w:val="00A22EF1"/>
    <w:rsid w:val="00A23961"/>
    <w:rsid w:val="00A23C8C"/>
    <w:rsid w:val="00A23FE4"/>
    <w:rsid w:val="00A24190"/>
    <w:rsid w:val="00A242FE"/>
    <w:rsid w:val="00A24FF6"/>
    <w:rsid w:val="00A257D2"/>
    <w:rsid w:val="00A25AC1"/>
    <w:rsid w:val="00A25B6D"/>
    <w:rsid w:val="00A25C51"/>
    <w:rsid w:val="00A261B9"/>
    <w:rsid w:val="00A26213"/>
    <w:rsid w:val="00A266F3"/>
    <w:rsid w:val="00A26775"/>
    <w:rsid w:val="00A26EC2"/>
    <w:rsid w:val="00A27181"/>
    <w:rsid w:val="00A27224"/>
    <w:rsid w:val="00A30B30"/>
    <w:rsid w:val="00A30C42"/>
    <w:rsid w:val="00A3140D"/>
    <w:rsid w:val="00A31CC5"/>
    <w:rsid w:val="00A32754"/>
    <w:rsid w:val="00A3289E"/>
    <w:rsid w:val="00A32DDA"/>
    <w:rsid w:val="00A331BE"/>
    <w:rsid w:val="00A3336E"/>
    <w:rsid w:val="00A333D0"/>
    <w:rsid w:val="00A34BAA"/>
    <w:rsid w:val="00A34EF8"/>
    <w:rsid w:val="00A352A5"/>
    <w:rsid w:val="00A36BE3"/>
    <w:rsid w:val="00A3705E"/>
    <w:rsid w:val="00A37342"/>
    <w:rsid w:val="00A40947"/>
    <w:rsid w:val="00A415F5"/>
    <w:rsid w:val="00A42494"/>
    <w:rsid w:val="00A4255E"/>
    <w:rsid w:val="00A42B69"/>
    <w:rsid w:val="00A42C6A"/>
    <w:rsid w:val="00A42EFB"/>
    <w:rsid w:val="00A44966"/>
    <w:rsid w:val="00A449B8"/>
    <w:rsid w:val="00A452C0"/>
    <w:rsid w:val="00A4604B"/>
    <w:rsid w:val="00A46798"/>
    <w:rsid w:val="00A46EEF"/>
    <w:rsid w:val="00A46FE8"/>
    <w:rsid w:val="00A4798A"/>
    <w:rsid w:val="00A50249"/>
    <w:rsid w:val="00A513B7"/>
    <w:rsid w:val="00A51688"/>
    <w:rsid w:val="00A51B8D"/>
    <w:rsid w:val="00A522F8"/>
    <w:rsid w:val="00A523E4"/>
    <w:rsid w:val="00A54A0E"/>
    <w:rsid w:val="00A557CB"/>
    <w:rsid w:val="00A563DD"/>
    <w:rsid w:val="00A57FD4"/>
    <w:rsid w:val="00A60281"/>
    <w:rsid w:val="00A60877"/>
    <w:rsid w:val="00A611FD"/>
    <w:rsid w:val="00A612B3"/>
    <w:rsid w:val="00A61A6E"/>
    <w:rsid w:val="00A61CEA"/>
    <w:rsid w:val="00A61D5E"/>
    <w:rsid w:val="00A62018"/>
    <w:rsid w:val="00A62738"/>
    <w:rsid w:val="00A62EBA"/>
    <w:rsid w:val="00A643AC"/>
    <w:rsid w:val="00A64957"/>
    <w:rsid w:val="00A6560C"/>
    <w:rsid w:val="00A6683A"/>
    <w:rsid w:val="00A67459"/>
    <w:rsid w:val="00A67B53"/>
    <w:rsid w:val="00A67E4B"/>
    <w:rsid w:val="00A70266"/>
    <w:rsid w:val="00A7096E"/>
    <w:rsid w:val="00A70D86"/>
    <w:rsid w:val="00A724BD"/>
    <w:rsid w:val="00A72BFF"/>
    <w:rsid w:val="00A73586"/>
    <w:rsid w:val="00A739B1"/>
    <w:rsid w:val="00A750A2"/>
    <w:rsid w:val="00A75202"/>
    <w:rsid w:val="00A757DC"/>
    <w:rsid w:val="00A7584A"/>
    <w:rsid w:val="00A7597B"/>
    <w:rsid w:val="00A75AB6"/>
    <w:rsid w:val="00A75C70"/>
    <w:rsid w:val="00A75D8C"/>
    <w:rsid w:val="00A76293"/>
    <w:rsid w:val="00A7695D"/>
    <w:rsid w:val="00A769F6"/>
    <w:rsid w:val="00A76F15"/>
    <w:rsid w:val="00A77D50"/>
    <w:rsid w:val="00A77F97"/>
    <w:rsid w:val="00A81287"/>
    <w:rsid w:val="00A81D56"/>
    <w:rsid w:val="00A8247A"/>
    <w:rsid w:val="00A82C24"/>
    <w:rsid w:val="00A82CBA"/>
    <w:rsid w:val="00A83C80"/>
    <w:rsid w:val="00A83EAE"/>
    <w:rsid w:val="00A8485B"/>
    <w:rsid w:val="00A84F45"/>
    <w:rsid w:val="00A85FFA"/>
    <w:rsid w:val="00A871A5"/>
    <w:rsid w:val="00A87D00"/>
    <w:rsid w:val="00A90054"/>
    <w:rsid w:val="00A90971"/>
    <w:rsid w:val="00A90E57"/>
    <w:rsid w:val="00A91674"/>
    <w:rsid w:val="00A91786"/>
    <w:rsid w:val="00A91FE6"/>
    <w:rsid w:val="00A92227"/>
    <w:rsid w:val="00A92D3A"/>
    <w:rsid w:val="00A93418"/>
    <w:rsid w:val="00A9345C"/>
    <w:rsid w:val="00A94BEE"/>
    <w:rsid w:val="00A95439"/>
    <w:rsid w:val="00A95A74"/>
    <w:rsid w:val="00A95D38"/>
    <w:rsid w:val="00A967FF"/>
    <w:rsid w:val="00A9761D"/>
    <w:rsid w:val="00A97F45"/>
    <w:rsid w:val="00AA0C99"/>
    <w:rsid w:val="00AA0F24"/>
    <w:rsid w:val="00AA18D7"/>
    <w:rsid w:val="00AA212E"/>
    <w:rsid w:val="00AA2AA6"/>
    <w:rsid w:val="00AA2AC2"/>
    <w:rsid w:val="00AA36EE"/>
    <w:rsid w:val="00AA40CA"/>
    <w:rsid w:val="00AA4825"/>
    <w:rsid w:val="00AA4A59"/>
    <w:rsid w:val="00AA5343"/>
    <w:rsid w:val="00AA5D8E"/>
    <w:rsid w:val="00AA61B3"/>
    <w:rsid w:val="00AA6442"/>
    <w:rsid w:val="00AA65E1"/>
    <w:rsid w:val="00AA71B6"/>
    <w:rsid w:val="00AA71E3"/>
    <w:rsid w:val="00AA7495"/>
    <w:rsid w:val="00AB1721"/>
    <w:rsid w:val="00AB1CBA"/>
    <w:rsid w:val="00AB25C6"/>
    <w:rsid w:val="00AB26E9"/>
    <w:rsid w:val="00AB2EFC"/>
    <w:rsid w:val="00AB3358"/>
    <w:rsid w:val="00AB3AF1"/>
    <w:rsid w:val="00AB483B"/>
    <w:rsid w:val="00AB5F1A"/>
    <w:rsid w:val="00AB67C7"/>
    <w:rsid w:val="00AB6F51"/>
    <w:rsid w:val="00AB701F"/>
    <w:rsid w:val="00AB7414"/>
    <w:rsid w:val="00AB7702"/>
    <w:rsid w:val="00AB7D49"/>
    <w:rsid w:val="00AC03FB"/>
    <w:rsid w:val="00AC0565"/>
    <w:rsid w:val="00AC0AEB"/>
    <w:rsid w:val="00AC0DAF"/>
    <w:rsid w:val="00AC12D5"/>
    <w:rsid w:val="00AC26F8"/>
    <w:rsid w:val="00AC293E"/>
    <w:rsid w:val="00AC2B55"/>
    <w:rsid w:val="00AC2F5D"/>
    <w:rsid w:val="00AC3419"/>
    <w:rsid w:val="00AC436D"/>
    <w:rsid w:val="00AC457C"/>
    <w:rsid w:val="00AC5265"/>
    <w:rsid w:val="00AC6102"/>
    <w:rsid w:val="00AC644A"/>
    <w:rsid w:val="00AC6AB6"/>
    <w:rsid w:val="00AC7CF7"/>
    <w:rsid w:val="00AD0DBE"/>
    <w:rsid w:val="00AD1ABD"/>
    <w:rsid w:val="00AD364C"/>
    <w:rsid w:val="00AD36A2"/>
    <w:rsid w:val="00AD3C9F"/>
    <w:rsid w:val="00AD4D2D"/>
    <w:rsid w:val="00AD4FA5"/>
    <w:rsid w:val="00AD51AA"/>
    <w:rsid w:val="00AD51BE"/>
    <w:rsid w:val="00AD5544"/>
    <w:rsid w:val="00AD55C0"/>
    <w:rsid w:val="00AD5C49"/>
    <w:rsid w:val="00AD5CB2"/>
    <w:rsid w:val="00AD7059"/>
    <w:rsid w:val="00AD7D54"/>
    <w:rsid w:val="00AE052B"/>
    <w:rsid w:val="00AE0C8A"/>
    <w:rsid w:val="00AE0DDA"/>
    <w:rsid w:val="00AE0F4D"/>
    <w:rsid w:val="00AE0F5E"/>
    <w:rsid w:val="00AE1D38"/>
    <w:rsid w:val="00AE2C9C"/>
    <w:rsid w:val="00AE40EF"/>
    <w:rsid w:val="00AE45EF"/>
    <w:rsid w:val="00AE55BF"/>
    <w:rsid w:val="00AE57F7"/>
    <w:rsid w:val="00AE6C33"/>
    <w:rsid w:val="00AE6C7E"/>
    <w:rsid w:val="00AF03CE"/>
    <w:rsid w:val="00AF08D5"/>
    <w:rsid w:val="00AF09E8"/>
    <w:rsid w:val="00AF188F"/>
    <w:rsid w:val="00AF5A2F"/>
    <w:rsid w:val="00AF5EB7"/>
    <w:rsid w:val="00AF6208"/>
    <w:rsid w:val="00AF62A2"/>
    <w:rsid w:val="00AF662E"/>
    <w:rsid w:val="00AF6E31"/>
    <w:rsid w:val="00AF72FE"/>
    <w:rsid w:val="00B002EA"/>
    <w:rsid w:val="00B009D8"/>
    <w:rsid w:val="00B00B08"/>
    <w:rsid w:val="00B00D24"/>
    <w:rsid w:val="00B00F84"/>
    <w:rsid w:val="00B01779"/>
    <w:rsid w:val="00B01B12"/>
    <w:rsid w:val="00B01DB9"/>
    <w:rsid w:val="00B02310"/>
    <w:rsid w:val="00B03B27"/>
    <w:rsid w:val="00B04F39"/>
    <w:rsid w:val="00B05187"/>
    <w:rsid w:val="00B05460"/>
    <w:rsid w:val="00B06131"/>
    <w:rsid w:val="00B06C12"/>
    <w:rsid w:val="00B102D1"/>
    <w:rsid w:val="00B10336"/>
    <w:rsid w:val="00B1051F"/>
    <w:rsid w:val="00B11545"/>
    <w:rsid w:val="00B11C4C"/>
    <w:rsid w:val="00B124F6"/>
    <w:rsid w:val="00B125CF"/>
    <w:rsid w:val="00B131BA"/>
    <w:rsid w:val="00B13B51"/>
    <w:rsid w:val="00B157FF"/>
    <w:rsid w:val="00B15FE8"/>
    <w:rsid w:val="00B175B6"/>
    <w:rsid w:val="00B202F4"/>
    <w:rsid w:val="00B20B97"/>
    <w:rsid w:val="00B219B7"/>
    <w:rsid w:val="00B21AD8"/>
    <w:rsid w:val="00B2478D"/>
    <w:rsid w:val="00B250D5"/>
    <w:rsid w:val="00B2613E"/>
    <w:rsid w:val="00B26CFB"/>
    <w:rsid w:val="00B27348"/>
    <w:rsid w:val="00B2766C"/>
    <w:rsid w:val="00B30130"/>
    <w:rsid w:val="00B30CDE"/>
    <w:rsid w:val="00B31354"/>
    <w:rsid w:val="00B32D49"/>
    <w:rsid w:val="00B33033"/>
    <w:rsid w:val="00B34FF3"/>
    <w:rsid w:val="00B367E9"/>
    <w:rsid w:val="00B370EB"/>
    <w:rsid w:val="00B37E4D"/>
    <w:rsid w:val="00B40385"/>
    <w:rsid w:val="00B42CE6"/>
    <w:rsid w:val="00B442F3"/>
    <w:rsid w:val="00B4464E"/>
    <w:rsid w:val="00B44CFE"/>
    <w:rsid w:val="00B45261"/>
    <w:rsid w:val="00B45514"/>
    <w:rsid w:val="00B45AD5"/>
    <w:rsid w:val="00B46189"/>
    <w:rsid w:val="00B464D7"/>
    <w:rsid w:val="00B471D4"/>
    <w:rsid w:val="00B47BF7"/>
    <w:rsid w:val="00B47D66"/>
    <w:rsid w:val="00B50072"/>
    <w:rsid w:val="00B5109F"/>
    <w:rsid w:val="00B52135"/>
    <w:rsid w:val="00B52E2A"/>
    <w:rsid w:val="00B52E52"/>
    <w:rsid w:val="00B53AD1"/>
    <w:rsid w:val="00B53F51"/>
    <w:rsid w:val="00B54454"/>
    <w:rsid w:val="00B54A92"/>
    <w:rsid w:val="00B54F66"/>
    <w:rsid w:val="00B565E6"/>
    <w:rsid w:val="00B56B90"/>
    <w:rsid w:val="00B5774B"/>
    <w:rsid w:val="00B57B3A"/>
    <w:rsid w:val="00B57DCF"/>
    <w:rsid w:val="00B60324"/>
    <w:rsid w:val="00B61161"/>
    <w:rsid w:val="00B6122F"/>
    <w:rsid w:val="00B61FBE"/>
    <w:rsid w:val="00B6314F"/>
    <w:rsid w:val="00B6392E"/>
    <w:rsid w:val="00B63BDD"/>
    <w:rsid w:val="00B63FCB"/>
    <w:rsid w:val="00B6495E"/>
    <w:rsid w:val="00B64AC6"/>
    <w:rsid w:val="00B64CB4"/>
    <w:rsid w:val="00B653C0"/>
    <w:rsid w:val="00B6685F"/>
    <w:rsid w:val="00B66C65"/>
    <w:rsid w:val="00B701C2"/>
    <w:rsid w:val="00B70301"/>
    <w:rsid w:val="00B7091B"/>
    <w:rsid w:val="00B71D9F"/>
    <w:rsid w:val="00B729C3"/>
    <w:rsid w:val="00B7349E"/>
    <w:rsid w:val="00B737FA"/>
    <w:rsid w:val="00B73D08"/>
    <w:rsid w:val="00B742FD"/>
    <w:rsid w:val="00B744F2"/>
    <w:rsid w:val="00B74D95"/>
    <w:rsid w:val="00B77417"/>
    <w:rsid w:val="00B77B11"/>
    <w:rsid w:val="00B8199D"/>
    <w:rsid w:val="00B822BC"/>
    <w:rsid w:val="00B8261F"/>
    <w:rsid w:val="00B83095"/>
    <w:rsid w:val="00B843DF"/>
    <w:rsid w:val="00B862CA"/>
    <w:rsid w:val="00B90BC5"/>
    <w:rsid w:val="00B9192C"/>
    <w:rsid w:val="00B92323"/>
    <w:rsid w:val="00B92443"/>
    <w:rsid w:val="00B927A9"/>
    <w:rsid w:val="00B92FD5"/>
    <w:rsid w:val="00B937A3"/>
    <w:rsid w:val="00B93D2C"/>
    <w:rsid w:val="00B94AB5"/>
    <w:rsid w:val="00B9551B"/>
    <w:rsid w:val="00B95AFF"/>
    <w:rsid w:val="00B95CD3"/>
    <w:rsid w:val="00B96043"/>
    <w:rsid w:val="00B967C2"/>
    <w:rsid w:val="00B968DE"/>
    <w:rsid w:val="00BA13AB"/>
    <w:rsid w:val="00BA14E4"/>
    <w:rsid w:val="00BA1E62"/>
    <w:rsid w:val="00BA2CC8"/>
    <w:rsid w:val="00BA3261"/>
    <w:rsid w:val="00BA39F1"/>
    <w:rsid w:val="00BA3DCC"/>
    <w:rsid w:val="00BA3F60"/>
    <w:rsid w:val="00BA62F3"/>
    <w:rsid w:val="00BA633E"/>
    <w:rsid w:val="00BA7377"/>
    <w:rsid w:val="00BB02D1"/>
    <w:rsid w:val="00BB05E4"/>
    <w:rsid w:val="00BB0662"/>
    <w:rsid w:val="00BB0A02"/>
    <w:rsid w:val="00BB2121"/>
    <w:rsid w:val="00BB219D"/>
    <w:rsid w:val="00BB2EF9"/>
    <w:rsid w:val="00BB33CB"/>
    <w:rsid w:val="00BB382E"/>
    <w:rsid w:val="00BB39E9"/>
    <w:rsid w:val="00BB3AFD"/>
    <w:rsid w:val="00BB5F55"/>
    <w:rsid w:val="00BB7767"/>
    <w:rsid w:val="00BB7918"/>
    <w:rsid w:val="00BB7F7E"/>
    <w:rsid w:val="00BC02B0"/>
    <w:rsid w:val="00BC064F"/>
    <w:rsid w:val="00BC068F"/>
    <w:rsid w:val="00BC1852"/>
    <w:rsid w:val="00BC263B"/>
    <w:rsid w:val="00BC3346"/>
    <w:rsid w:val="00BC3405"/>
    <w:rsid w:val="00BC4211"/>
    <w:rsid w:val="00BC51E7"/>
    <w:rsid w:val="00BC53D8"/>
    <w:rsid w:val="00BC5C79"/>
    <w:rsid w:val="00BC65FC"/>
    <w:rsid w:val="00BC6CC7"/>
    <w:rsid w:val="00BC740F"/>
    <w:rsid w:val="00BD0353"/>
    <w:rsid w:val="00BD0BDA"/>
    <w:rsid w:val="00BD0CC3"/>
    <w:rsid w:val="00BD12AC"/>
    <w:rsid w:val="00BD1955"/>
    <w:rsid w:val="00BD2231"/>
    <w:rsid w:val="00BD34F9"/>
    <w:rsid w:val="00BD3AA3"/>
    <w:rsid w:val="00BD3E2D"/>
    <w:rsid w:val="00BD57B1"/>
    <w:rsid w:val="00BD58AF"/>
    <w:rsid w:val="00BD5D20"/>
    <w:rsid w:val="00BD64D2"/>
    <w:rsid w:val="00BD747F"/>
    <w:rsid w:val="00BD76DB"/>
    <w:rsid w:val="00BD777E"/>
    <w:rsid w:val="00BE09D7"/>
    <w:rsid w:val="00BE0A62"/>
    <w:rsid w:val="00BE0AE9"/>
    <w:rsid w:val="00BE2369"/>
    <w:rsid w:val="00BE2D62"/>
    <w:rsid w:val="00BE2EB1"/>
    <w:rsid w:val="00BE31C9"/>
    <w:rsid w:val="00BE3448"/>
    <w:rsid w:val="00BE3FF0"/>
    <w:rsid w:val="00BE4B38"/>
    <w:rsid w:val="00BE4D1B"/>
    <w:rsid w:val="00BE590C"/>
    <w:rsid w:val="00BE5D31"/>
    <w:rsid w:val="00BE5E30"/>
    <w:rsid w:val="00BF069E"/>
    <w:rsid w:val="00BF1ABD"/>
    <w:rsid w:val="00BF30EF"/>
    <w:rsid w:val="00BF519A"/>
    <w:rsid w:val="00BF64EB"/>
    <w:rsid w:val="00BF6D91"/>
    <w:rsid w:val="00BF6E0E"/>
    <w:rsid w:val="00BF6F72"/>
    <w:rsid w:val="00BF7079"/>
    <w:rsid w:val="00BF7156"/>
    <w:rsid w:val="00BF717D"/>
    <w:rsid w:val="00BF7272"/>
    <w:rsid w:val="00BF736C"/>
    <w:rsid w:val="00BF7B0C"/>
    <w:rsid w:val="00BF7D26"/>
    <w:rsid w:val="00C0002E"/>
    <w:rsid w:val="00C011E5"/>
    <w:rsid w:val="00C01B9E"/>
    <w:rsid w:val="00C01EB1"/>
    <w:rsid w:val="00C0275B"/>
    <w:rsid w:val="00C02D53"/>
    <w:rsid w:val="00C0320B"/>
    <w:rsid w:val="00C03662"/>
    <w:rsid w:val="00C0484F"/>
    <w:rsid w:val="00C04B2C"/>
    <w:rsid w:val="00C04BF5"/>
    <w:rsid w:val="00C04DC6"/>
    <w:rsid w:val="00C05DF4"/>
    <w:rsid w:val="00C05EC1"/>
    <w:rsid w:val="00C06A6D"/>
    <w:rsid w:val="00C06C4D"/>
    <w:rsid w:val="00C06D25"/>
    <w:rsid w:val="00C0759E"/>
    <w:rsid w:val="00C07C08"/>
    <w:rsid w:val="00C07F25"/>
    <w:rsid w:val="00C10618"/>
    <w:rsid w:val="00C10F0D"/>
    <w:rsid w:val="00C121D2"/>
    <w:rsid w:val="00C126DD"/>
    <w:rsid w:val="00C138A0"/>
    <w:rsid w:val="00C13999"/>
    <w:rsid w:val="00C1408B"/>
    <w:rsid w:val="00C145B6"/>
    <w:rsid w:val="00C15837"/>
    <w:rsid w:val="00C1647E"/>
    <w:rsid w:val="00C172AC"/>
    <w:rsid w:val="00C17D4C"/>
    <w:rsid w:val="00C20C37"/>
    <w:rsid w:val="00C20CA4"/>
    <w:rsid w:val="00C20DA7"/>
    <w:rsid w:val="00C2154F"/>
    <w:rsid w:val="00C218D7"/>
    <w:rsid w:val="00C22D67"/>
    <w:rsid w:val="00C23E4D"/>
    <w:rsid w:val="00C241E8"/>
    <w:rsid w:val="00C2424D"/>
    <w:rsid w:val="00C24CB2"/>
    <w:rsid w:val="00C24E69"/>
    <w:rsid w:val="00C26022"/>
    <w:rsid w:val="00C26256"/>
    <w:rsid w:val="00C2692D"/>
    <w:rsid w:val="00C26D57"/>
    <w:rsid w:val="00C30004"/>
    <w:rsid w:val="00C32E6B"/>
    <w:rsid w:val="00C332C2"/>
    <w:rsid w:val="00C333A5"/>
    <w:rsid w:val="00C33884"/>
    <w:rsid w:val="00C338CC"/>
    <w:rsid w:val="00C33EB3"/>
    <w:rsid w:val="00C347BA"/>
    <w:rsid w:val="00C34966"/>
    <w:rsid w:val="00C35252"/>
    <w:rsid w:val="00C353CA"/>
    <w:rsid w:val="00C36192"/>
    <w:rsid w:val="00C36420"/>
    <w:rsid w:val="00C3648D"/>
    <w:rsid w:val="00C3671F"/>
    <w:rsid w:val="00C36C06"/>
    <w:rsid w:val="00C37846"/>
    <w:rsid w:val="00C37B4A"/>
    <w:rsid w:val="00C40CC6"/>
    <w:rsid w:val="00C40F49"/>
    <w:rsid w:val="00C41466"/>
    <w:rsid w:val="00C437F8"/>
    <w:rsid w:val="00C43836"/>
    <w:rsid w:val="00C4384B"/>
    <w:rsid w:val="00C448E8"/>
    <w:rsid w:val="00C45330"/>
    <w:rsid w:val="00C465A8"/>
    <w:rsid w:val="00C46DE8"/>
    <w:rsid w:val="00C46EB1"/>
    <w:rsid w:val="00C472E8"/>
    <w:rsid w:val="00C479AB"/>
    <w:rsid w:val="00C47D26"/>
    <w:rsid w:val="00C50270"/>
    <w:rsid w:val="00C504C0"/>
    <w:rsid w:val="00C51557"/>
    <w:rsid w:val="00C51B6E"/>
    <w:rsid w:val="00C52765"/>
    <w:rsid w:val="00C52959"/>
    <w:rsid w:val="00C53369"/>
    <w:rsid w:val="00C533D1"/>
    <w:rsid w:val="00C55325"/>
    <w:rsid w:val="00C55674"/>
    <w:rsid w:val="00C5569B"/>
    <w:rsid w:val="00C559DC"/>
    <w:rsid w:val="00C55F42"/>
    <w:rsid w:val="00C56C29"/>
    <w:rsid w:val="00C57488"/>
    <w:rsid w:val="00C5788F"/>
    <w:rsid w:val="00C603C4"/>
    <w:rsid w:val="00C60717"/>
    <w:rsid w:val="00C61401"/>
    <w:rsid w:val="00C61512"/>
    <w:rsid w:val="00C6240F"/>
    <w:rsid w:val="00C62B00"/>
    <w:rsid w:val="00C630FC"/>
    <w:rsid w:val="00C631E3"/>
    <w:rsid w:val="00C633E1"/>
    <w:rsid w:val="00C64B7B"/>
    <w:rsid w:val="00C64E63"/>
    <w:rsid w:val="00C655CF"/>
    <w:rsid w:val="00C669E7"/>
    <w:rsid w:val="00C67066"/>
    <w:rsid w:val="00C73834"/>
    <w:rsid w:val="00C7413F"/>
    <w:rsid w:val="00C7458B"/>
    <w:rsid w:val="00C74C29"/>
    <w:rsid w:val="00C74FB7"/>
    <w:rsid w:val="00C75815"/>
    <w:rsid w:val="00C7694B"/>
    <w:rsid w:val="00C77134"/>
    <w:rsid w:val="00C77EA7"/>
    <w:rsid w:val="00C800BD"/>
    <w:rsid w:val="00C80300"/>
    <w:rsid w:val="00C80406"/>
    <w:rsid w:val="00C81C81"/>
    <w:rsid w:val="00C81E71"/>
    <w:rsid w:val="00C82367"/>
    <w:rsid w:val="00C827E0"/>
    <w:rsid w:val="00C840DF"/>
    <w:rsid w:val="00C85031"/>
    <w:rsid w:val="00C8554D"/>
    <w:rsid w:val="00C85608"/>
    <w:rsid w:val="00C86F33"/>
    <w:rsid w:val="00C875DA"/>
    <w:rsid w:val="00C9156C"/>
    <w:rsid w:val="00C91D2F"/>
    <w:rsid w:val="00C930B7"/>
    <w:rsid w:val="00C94716"/>
    <w:rsid w:val="00C953B2"/>
    <w:rsid w:val="00C959AE"/>
    <w:rsid w:val="00C965E1"/>
    <w:rsid w:val="00C96A72"/>
    <w:rsid w:val="00C97066"/>
    <w:rsid w:val="00C9729B"/>
    <w:rsid w:val="00C97CA7"/>
    <w:rsid w:val="00CA02A9"/>
    <w:rsid w:val="00CA0932"/>
    <w:rsid w:val="00CA1C76"/>
    <w:rsid w:val="00CA2090"/>
    <w:rsid w:val="00CA280A"/>
    <w:rsid w:val="00CA2857"/>
    <w:rsid w:val="00CA291B"/>
    <w:rsid w:val="00CA2F34"/>
    <w:rsid w:val="00CA315B"/>
    <w:rsid w:val="00CA3387"/>
    <w:rsid w:val="00CA3FB1"/>
    <w:rsid w:val="00CA43CA"/>
    <w:rsid w:val="00CA6E07"/>
    <w:rsid w:val="00CA75B5"/>
    <w:rsid w:val="00CA777D"/>
    <w:rsid w:val="00CB0FDB"/>
    <w:rsid w:val="00CB1753"/>
    <w:rsid w:val="00CB2D35"/>
    <w:rsid w:val="00CB30B1"/>
    <w:rsid w:val="00CB368B"/>
    <w:rsid w:val="00CB3C46"/>
    <w:rsid w:val="00CB483B"/>
    <w:rsid w:val="00CB4AE6"/>
    <w:rsid w:val="00CB562F"/>
    <w:rsid w:val="00CB6469"/>
    <w:rsid w:val="00CB7F13"/>
    <w:rsid w:val="00CC00D8"/>
    <w:rsid w:val="00CC0178"/>
    <w:rsid w:val="00CC1885"/>
    <w:rsid w:val="00CC1F1A"/>
    <w:rsid w:val="00CC2C63"/>
    <w:rsid w:val="00CC308A"/>
    <w:rsid w:val="00CC3265"/>
    <w:rsid w:val="00CC32A6"/>
    <w:rsid w:val="00CC3A6C"/>
    <w:rsid w:val="00CC438E"/>
    <w:rsid w:val="00CC51F7"/>
    <w:rsid w:val="00CC5B6C"/>
    <w:rsid w:val="00CC5C27"/>
    <w:rsid w:val="00CC60C0"/>
    <w:rsid w:val="00CC67E0"/>
    <w:rsid w:val="00CC6E32"/>
    <w:rsid w:val="00CC6FCF"/>
    <w:rsid w:val="00CC7923"/>
    <w:rsid w:val="00CC7A01"/>
    <w:rsid w:val="00CC7B68"/>
    <w:rsid w:val="00CD0148"/>
    <w:rsid w:val="00CD0AA1"/>
    <w:rsid w:val="00CD1304"/>
    <w:rsid w:val="00CD255A"/>
    <w:rsid w:val="00CD2FF4"/>
    <w:rsid w:val="00CD368D"/>
    <w:rsid w:val="00CD42A9"/>
    <w:rsid w:val="00CD4353"/>
    <w:rsid w:val="00CD450D"/>
    <w:rsid w:val="00CD51AF"/>
    <w:rsid w:val="00CD67B3"/>
    <w:rsid w:val="00CE0613"/>
    <w:rsid w:val="00CE0F45"/>
    <w:rsid w:val="00CE10CC"/>
    <w:rsid w:val="00CE1542"/>
    <w:rsid w:val="00CE3462"/>
    <w:rsid w:val="00CE34F4"/>
    <w:rsid w:val="00CE373D"/>
    <w:rsid w:val="00CE3816"/>
    <w:rsid w:val="00CE4381"/>
    <w:rsid w:val="00CE5F70"/>
    <w:rsid w:val="00CE6C16"/>
    <w:rsid w:val="00CE72CC"/>
    <w:rsid w:val="00CF0497"/>
    <w:rsid w:val="00CF0562"/>
    <w:rsid w:val="00CF0D32"/>
    <w:rsid w:val="00CF14DC"/>
    <w:rsid w:val="00CF17D2"/>
    <w:rsid w:val="00CF1B9A"/>
    <w:rsid w:val="00CF2221"/>
    <w:rsid w:val="00CF22B3"/>
    <w:rsid w:val="00CF2D1C"/>
    <w:rsid w:val="00CF33A6"/>
    <w:rsid w:val="00CF3AE6"/>
    <w:rsid w:val="00CF45C6"/>
    <w:rsid w:val="00CF4C8C"/>
    <w:rsid w:val="00CF5635"/>
    <w:rsid w:val="00CF6880"/>
    <w:rsid w:val="00D03017"/>
    <w:rsid w:val="00D0314D"/>
    <w:rsid w:val="00D036AE"/>
    <w:rsid w:val="00D03AD7"/>
    <w:rsid w:val="00D043A7"/>
    <w:rsid w:val="00D057B5"/>
    <w:rsid w:val="00D05F4C"/>
    <w:rsid w:val="00D06351"/>
    <w:rsid w:val="00D06CD7"/>
    <w:rsid w:val="00D07402"/>
    <w:rsid w:val="00D07D31"/>
    <w:rsid w:val="00D10774"/>
    <w:rsid w:val="00D1080F"/>
    <w:rsid w:val="00D113E8"/>
    <w:rsid w:val="00D121A1"/>
    <w:rsid w:val="00D126F0"/>
    <w:rsid w:val="00D12DDC"/>
    <w:rsid w:val="00D13BE3"/>
    <w:rsid w:val="00D14832"/>
    <w:rsid w:val="00D1485E"/>
    <w:rsid w:val="00D14D2B"/>
    <w:rsid w:val="00D15489"/>
    <w:rsid w:val="00D15C2B"/>
    <w:rsid w:val="00D15D57"/>
    <w:rsid w:val="00D1713B"/>
    <w:rsid w:val="00D17AE2"/>
    <w:rsid w:val="00D2042B"/>
    <w:rsid w:val="00D20583"/>
    <w:rsid w:val="00D205FF"/>
    <w:rsid w:val="00D21887"/>
    <w:rsid w:val="00D21A2C"/>
    <w:rsid w:val="00D21BDB"/>
    <w:rsid w:val="00D2215A"/>
    <w:rsid w:val="00D2222B"/>
    <w:rsid w:val="00D2279D"/>
    <w:rsid w:val="00D22B40"/>
    <w:rsid w:val="00D22BA9"/>
    <w:rsid w:val="00D235D6"/>
    <w:rsid w:val="00D23618"/>
    <w:rsid w:val="00D24638"/>
    <w:rsid w:val="00D253B3"/>
    <w:rsid w:val="00D257D5"/>
    <w:rsid w:val="00D26335"/>
    <w:rsid w:val="00D26468"/>
    <w:rsid w:val="00D26BB5"/>
    <w:rsid w:val="00D27F03"/>
    <w:rsid w:val="00D30C32"/>
    <w:rsid w:val="00D31268"/>
    <w:rsid w:val="00D31CA4"/>
    <w:rsid w:val="00D32097"/>
    <w:rsid w:val="00D32A32"/>
    <w:rsid w:val="00D32C62"/>
    <w:rsid w:val="00D32CB4"/>
    <w:rsid w:val="00D32D71"/>
    <w:rsid w:val="00D33024"/>
    <w:rsid w:val="00D33104"/>
    <w:rsid w:val="00D33DE6"/>
    <w:rsid w:val="00D3410D"/>
    <w:rsid w:val="00D34790"/>
    <w:rsid w:val="00D34848"/>
    <w:rsid w:val="00D351B6"/>
    <w:rsid w:val="00D35714"/>
    <w:rsid w:val="00D35E98"/>
    <w:rsid w:val="00D3620C"/>
    <w:rsid w:val="00D36522"/>
    <w:rsid w:val="00D3729B"/>
    <w:rsid w:val="00D37979"/>
    <w:rsid w:val="00D37BF2"/>
    <w:rsid w:val="00D407D8"/>
    <w:rsid w:val="00D40B0B"/>
    <w:rsid w:val="00D40BFD"/>
    <w:rsid w:val="00D412C7"/>
    <w:rsid w:val="00D4247E"/>
    <w:rsid w:val="00D435BE"/>
    <w:rsid w:val="00D43717"/>
    <w:rsid w:val="00D447D7"/>
    <w:rsid w:val="00D448CA"/>
    <w:rsid w:val="00D452EC"/>
    <w:rsid w:val="00D45D45"/>
    <w:rsid w:val="00D463C8"/>
    <w:rsid w:val="00D4699A"/>
    <w:rsid w:val="00D46B3A"/>
    <w:rsid w:val="00D46BFE"/>
    <w:rsid w:val="00D46F97"/>
    <w:rsid w:val="00D4768F"/>
    <w:rsid w:val="00D4799E"/>
    <w:rsid w:val="00D47F05"/>
    <w:rsid w:val="00D50863"/>
    <w:rsid w:val="00D50C55"/>
    <w:rsid w:val="00D518CA"/>
    <w:rsid w:val="00D51A91"/>
    <w:rsid w:val="00D52692"/>
    <w:rsid w:val="00D52DC7"/>
    <w:rsid w:val="00D53C43"/>
    <w:rsid w:val="00D551C4"/>
    <w:rsid w:val="00D55275"/>
    <w:rsid w:val="00D5590F"/>
    <w:rsid w:val="00D559CF"/>
    <w:rsid w:val="00D55B53"/>
    <w:rsid w:val="00D56465"/>
    <w:rsid w:val="00D56A5F"/>
    <w:rsid w:val="00D572E6"/>
    <w:rsid w:val="00D5793A"/>
    <w:rsid w:val="00D57C2C"/>
    <w:rsid w:val="00D60A8B"/>
    <w:rsid w:val="00D613BB"/>
    <w:rsid w:val="00D61A14"/>
    <w:rsid w:val="00D624A2"/>
    <w:rsid w:val="00D6288F"/>
    <w:rsid w:val="00D63292"/>
    <w:rsid w:val="00D63767"/>
    <w:rsid w:val="00D63E33"/>
    <w:rsid w:val="00D63F57"/>
    <w:rsid w:val="00D64441"/>
    <w:rsid w:val="00D66235"/>
    <w:rsid w:val="00D6624C"/>
    <w:rsid w:val="00D70085"/>
    <w:rsid w:val="00D70638"/>
    <w:rsid w:val="00D712D9"/>
    <w:rsid w:val="00D71380"/>
    <w:rsid w:val="00D7247F"/>
    <w:rsid w:val="00D72BE0"/>
    <w:rsid w:val="00D735F8"/>
    <w:rsid w:val="00D74CA1"/>
    <w:rsid w:val="00D74E12"/>
    <w:rsid w:val="00D7526B"/>
    <w:rsid w:val="00D768C6"/>
    <w:rsid w:val="00D777A7"/>
    <w:rsid w:val="00D81EEB"/>
    <w:rsid w:val="00D82E2D"/>
    <w:rsid w:val="00D83AF7"/>
    <w:rsid w:val="00D84B91"/>
    <w:rsid w:val="00D85BD7"/>
    <w:rsid w:val="00D86AC1"/>
    <w:rsid w:val="00D86B1D"/>
    <w:rsid w:val="00D86B28"/>
    <w:rsid w:val="00D871F7"/>
    <w:rsid w:val="00D87F0D"/>
    <w:rsid w:val="00D903D1"/>
    <w:rsid w:val="00D92185"/>
    <w:rsid w:val="00D92685"/>
    <w:rsid w:val="00D936ED"/>
    <w:rsid w:val="00D93B6C"/>
    <w:rsid w:val="00D943D2"/>
    <w:rsid w:val="00D955FB"/>
    <w:rsid w:val="00D95D58"/>
    <w:rsid w:val="00D97316"/>
    <w:rsid w:val="00D973DF"/>
    <w:rsid w:val="00D97D81"/>
    <w:rsid w:val="00DA1727"/>
    <w:rsid w:val="00DA1823"/>
    <w:rsid w:val="00DA1DA3"/>
    <w:rsid w:val="00DA292A"/>
    <w:rsid w:val="00DA3403"/>
    <w:rsid w:val="00DA34D3"/>
    <w:rsid w:val="00DA42FF"/>
    <w:rsid w:val="00DA4444"/>
    <w:rsid w:val="00DA4873"/>
    <w:rsid w:val="00DA4FF3"/>
    <w:rsid w:val="00DA5642"/>
    <w:rsid w:val="00DA5647"/>
    <w:rsid w:val="00DA5F7B"/>
    <w:rsid w:val="00DA6EB5"/>
    <w:rsid w:val="00DA7DF1"/>
    <w:rsid w:val="00DA7FED"/>
    <w:rsid w:val="00DB05DD"/>
    <w:rsid w:val="00DB13B8"/>
    <w:rsid w:val="00DB2423"/>
    <w:rsid w:val="00DB2A44"/>
    <w:rsid w:val="00DB3463"/>
    <w:rsid w:val="00DB3C5A"/>
    <w:rsid w:val="00DB4026"/>
    <w:rsid w:val="00DB4F7D"/>
    <w:rsid w:val="00DB5BC6"/>
    <w:rsid w:val="00DB66D3"/>
    <w:rsid w:val="00DB6BDF"/>
    <w:rsid w:val="00DB6C6A"/>
    <w:rsid w:val="00DC0380"/>
    <w:rsid w:val="00DC0D42"/>
    <w:rsid w:val="00DC1553"/>
    <w:rsid w:val="00DC1740"/>
    <w:rsid w:val="00DC1F28"/>
    <w:rsid w:val="00DC35E4"/>
    <w:rsid w:val="00DC36B8"/>
    <w:rsid w:val="00DC3DC4"/>
    <w:rsid w:val="00DC48EE"/>
    <w:rsid w:val="00DC4C79"/>
    <w:rsid w:val="00DC550C"/>
    <w:rsid w:val="00DC71AE"/>
    <w:rsid w:val="00DD028A"/>
    <w:rsid w:val="00DD1334"/>
    <w:rsid w:val="00DD13B7"/>
    <w:rsid w:val="00DD1F44"/>
    <w:rsid w:val="00DD21EE"/>
    <w:rsid w:val="00DD3313"/>
    <w:rsid w:val="00DD3678"/>
    <w:rsid w:val="00DD4264"/>
    <w:rsid w:val="00DD43B0"/>
    <w:rsid w:val="00DD501E"/>
    <w:rsid w:val="00DD5520"/>
    <w:rsid w:val="00DD5952"/>
    <w:rsid w:val="00DD59DA"/>
    <w:rsid w:val="00DD5A7C"/>
    <w:rsid w:val="00DD6D9A"/>
    <w:rsid w:val="00DD7378"/>
    <w:rsid w:val="00DD7603"/>
    <w:rsid w:val="00DD7B43"/>
    <w:rsid w:val="00DE19A1"/>
    <w:rsid w:val="00DE22D9"/>
    <w:rsid w:val="00DE2443"/>
    <w:rsid w:val="00DE245E"/>
    <w:rsid w:val="00DE27BC"/>
    <w:rsid w:val="00DE3F9F"/>
    <w:rsid w:val="00DE44A3"/>
    <w:rsid w:val="00DE47AC"/>
    <w:rsid w:val="00DE4F9E"/>
    <w:rsid w:val="00DE5650"/>
    <w:rsid w:val="00DE5DB6"/>
    <w:rsid w:val="00DE607F"/>
    <w:rsid w:val="00DE6127"/>
    <w:rsid w:val="00DE6DA6"/>
    <w:rsid w:val="00DE6DC6"/>
    <w:rsid w:val="00DE7B3B"/>
    <w:rsid w:val="00DE7EBE"/>
    <w:rsid w:val="00DF0630"/>
    <w:rsid w:val="00DF067F"/>
    <w:rsid w:val="00DF0C5E"/>
    <w:rsid w:val="00DF0CE4"/>
    <w:rsid w:val="00DF116C"/>
    <w:rsid w:val="00DF11F2"/>
    <w:rsid w:val="00DF1AC2"/>
    <w:rsid w:val="00DF2ACA"/>
    <w:rsid w:val="00DF2DA8"/>
    <w:rsid w:val="00DF2F2F"/>
    <w:rsid w:val="00DF3689"/>
    <w:rsid w:val="00DF6A5B"/>
    <w:rsid w:val="00DF6F35"/>
    <w:rsid w:val="00DF7987"/>
    <w:rsid w:val="00E00003"/>
    <w:rsid w:val="00E005F2"/>
    <w:rsid w:val="00E0287E"/>
    <w:rsid w:val="00E03267"/>
    <w:rsid w:val="00E041C7"/>
    <w:rsid w:val="00E043CB"/>
    <w:rsid w:val="00E045D3"/>
    <w:rsid w:val="00E07001"/>
    <w:rsid w:val="00E07B38"/>
    <w:rsid w:val="00E1053D"/>
    <w:rsid w:val="00E10AE8"/>
    <w:rsid w:val="00E10D40"/>
    <w:rsid w:val="00E112D8"/>
    <w:rsid w:val="00E11F34"/>
    <w:rsid w:val="00E1295E"/>
    <w:rsid w:val="00E1349E"/>
    <w:rsid w:val="00E14386"/>
    <w:rsid w:val="00E1451D"/>
    <w:rsid w:val="00E1472B"/>
    <w:rsid w:val="00E1570D"/>
    <w:rsid w:val="00E160FB"/>
    <w:rsid w:val="00E16784"/>
    <w:rsid w:val="00E16D04"/>
    <w:rsid w:val="00E1795D"/>
    <w:rsid w:val="00E2061F"/>
    <w:rsid w:val="00E20796"/>
    <w:rsid w:val="00E21216"/>
    <w:rsid w:val="00E21C1C"/>
    <w:rsid w:val="00E22397"/>
    <w:rsid w:val="00E231E5"/>
    <w:rsid w:val="00E23EDF"/>
    <w:rsid w:val="00E2438D"/>
    <w:rsid w:val="00E24A3F"/>
    <w:rsid w:val="00E25F37"/>
    <w:rsid w:val="00E26EDD"/>
    <w:rsid w:val="00E272AE"/>
    <w:rsid w:val="00E27B6E"/>
    <w:rsid w:val="00E27E62"/>
    <w:rsid w:val="00E3037B"/>
    <w:rsid w:val="00E31BF2"/>
    <w:rsid w:val="00E31D94"/>
    <w:rsid w:val="00E331C0"/>
    <w:rsid w:val="00E34134"/>
    <w:rsid w:val="00E34263"/>
    <w:rsid w:val="00E35947"/>
    <w:rsid w:val="00E36801"/>
    <w:rsid w:val="00E36CB2"/>
    <w:rsid w:val="00E373DA"/>
    <w:rsid w:val="00E37D66"/>
    <w:rsid w:val="00E37D82"/>
    <w:rsid w:val="00E40F04"/>
    <w:rsid w:val="00E4114E"/>
    <w:rsid w:val="00E41942"/>
    <w:rsid w:val="00E44F67"/>
    <w:rsid w:val="00E46351"/>
    <w:rsid w:val="00E46AF8"/>
    <w:rsid w:val="00E47B95"/>
    <w:rsid w:val="00E50A1A"/>
    <w:rsid w:val="00E50B89"/>
    <w:rsid w:val="00E513DF"/>
    <w:rsid w:val="00E51AE9"/>
    <w:rsid w:val="00E51C32"/>
    <w:rsid w:val="00E521BE"/>
    <w:rsid w:val="00E5275C"/>
    <w:rsid w:val="00E53990"/>
    <w:rsid w:val="00E54DE3"/>
    <w:rsid w:val="00E556C5"/>
    <w:rsid w:val="00E558C9"/>
    <w:rsid w:val="00E55D1D"/>
    <w:rsid w:val="00E564BC"/>
    <w:rsid w:val="00E56FB4"/>
    <w:rsid w:val="00E5745A"/>
    <w:rsid w:val="00E577ED"/>
    <w:rsid w:val="00E6012A"/>
    <w:rsid w:val="00E61AB2"/>
    <w:rsid w:val="00E62B07"/>
    <w:rsid w:val="00E63B32"/>
    <w:rsid w:val="00E64E02"/>
    <w:rsid w:val="00E65480"/>
    <w:rsid w:val="00E6616F"/>
    <w:rsid w:val="00E66E3D"/>
    <w:rsid w:val="00E679A0"/>
    <w:rsid w:val="00E7101C"/>
    <w:rsid w:val="00E71464"/>
    <w:rsid w:val="00E71791"/>
    <w:rsid w:val="00E71BC6"/>
    <w:rsid w:val="00E728D9"/>
    <w:rsid w:val="00E72B1F"/>
    <w:rsid w:val="00E72D5A"/>
    <w:rsid w:val="00E735C3"/>
    <w:rsid w:val="00E74EB0"/>
    <w:rsid w:val="00E751EA"/>
    <w:rsid w:val="00E76059"/>
    <w:rsid w:val="00E764E3"/>
    <w:rsid w:val="00E76BA9"/>
    <w:rsid w:val="00E77298"/>
    <w:rsid w:val="00E8192B"/>
    <w:rsid w:val="00E8315F"/>
    <w:rsid w:val="00E84537"/>
    <w:rsid w:val="00E84BC8"/>
    <w:rsid w:val="00E84F06"/>
    <w:rsid w:val="00E852A2"/>
    <w:rsid w:val="00E8583F"/>
    <w:rsid w:val="00E86994"/>
    <w:rsid w:val="00E87830"/>
    <w:rsid w:val="00E87F92"/>
    <w:rsid w:val="00E91158"/>
    <w:rsid w:val="00E914D5"/>
    <w:rsid w:val="00E91549"/>
    <w:rsid w:val="00E91B11"/>
    <w:rsid w:val="00E92125"/>
    <w:rsid w:val="00E9271A"/>
    <w:rsid w:val="00E936AF"/>
    <w:rsid w:val="00E95115"/>
    <w:rsid w:val="00E954ED"/>
    <w:rsid w:val="00E95697"/>
    <w:rsid w:val="00E95D22"/>
    <w:rsid w:val="00E96CEC"/>
    <w:rsid w:val="00EA10F9"/>
    <w:rsid w:val="00EA2158"/>
    <w:rsid w:val="00EA242B"/>
    <w:rsid w:val="00EA2940"/>
    <w:rsid w:val="00EA2B3C"/>
    <w:rsid w:val="00EA2F7D"/>
    <w:rsid w:val="00EA3444"/>
    <w:rsid w:val="00EA3934"/>
    <w:rsid w:val="00EA3C8E"/>
    <w:rsid w:val="00EA3E26"/>
    <w:rsid w:val="00EA5442"/>
    <w:rsid w:val="00EB055C"/>
    <w:rsid w:val="00EB0DA4"/>
    <w:rsid w:val="00EB1020"/>
    <w:rsid w:val="00EB1FFF"/>
    <w:rsid w:val="00EB2E83"/>
    <w:rsid w:val="00EB34D6"/>
    <w:rsid w:val="00EB3575"/>
    <w:rsid w:val="00EB3CBD"/>
    <w:rsid w:val="00EB4152"/>
    <w:rsid w:val="00EB4550"/>
    <w:rsid w:val="00EB63D8"/>
    <w:rsid w:val="00EB6504"/>
    <w:rsid w:val="00EB683A"/>
    <w:rsid w:val="00EB6AD0"/>
    <w:rsid w:val="00EB78EC"/>
    <w:rsid w:val="00EC0429"/>
    <w:rsid w:val="00EC0B87"/>
    <w:rsid w:val="00EC3077"/>
    <w:rsid w:val="00EC36EF"/>
    <w:rsid w:val="00EC3EDA"/>
    <w:rsid w:val="00EC4910"/>
    <w:rsid w:val="00EC5034"/>
    <w:rsid w:val="00EC5166"/>
    <w:rsid w:val="00EC5518"/>
    <w:rsid w:val="00EC6095"/>
    <w:rsid w:val="00EC6238"/>
    <w:rsid w:val="00EC70AF"/>
    <w:rsid w:val="00EC71DC"/>
    <w:rsid w:val="00EC7491"/>
    <w:rsid w:val="00EC76DA"/>
    <w:rsid w:val="00EC7999"/>
    <w:rsid w:val="00ED1D8C"/>
    <w:rsid w:val="00ED2025"/>
    <w:rsid w:val="00ED2B9B"/>
    <w:rsid w:val="00ED31FF"/>
    <w:rsid w:val="00ED38E4"/>
    <w:rsid w:val="00ED4D27"/>
    <w:rsid w:val="00ED4FA8"/>
    <w:rsid w:val="00ED5347"/>
    <w:rsid w:val="00ED6687"/>
    <w:rsid w:val="00ED715D"/>
    <w:rsid w:val="00ED78A6"/>
    <w:rsid w:val="00EE0333"/>
    <w:rsid w:val="00EE083D"/>
    <w:rsid w:val="00EE126B"/>
    <w:rsid w:val="00EE2E5A"/>
    <w:rsid w:val="00EE3363"/>
    <w:rsid w:val="00EE36BF"/>
    <w:rsid w:val="00EE3E9B"/>
    <w:rsid w:val="00EE497F"/>
    <w:rsid w:val="00EE53EA"/>
    <w:rsid w:val="00EE551A"/>
    <w:rsid w:val="00EE5674"/>
    <w:rsid w:val="00EE602A"/>
    <w:rsid w:val="00EE6A31"/>
    <w:rsid w:val="00EE7973"/>
    <w:rsid w:val="00EF0AF6"/>
    <w:rsid w:val="00EF10C9"/>
    <w:rsid w:val="00EF15D8"/>
    <w:rsid w:val="00EF191B"/>
    <w:rsid w:val="00EF2136"/>
    <w:rsid w:val="00EF3564"/>
    <w:rsid w:val="00EF3A73"/>
    <w:rsid w:val="00EF3F7D"/>
    <w:rsid w:val="00EF4F00"/>
    <w:rsid w:val="00EF5D98"/>
    <w:rsid w:val="00EF66DD"/>
    <w:rsid w:val="00EF7571"/>
    <w:rsid w:val="00EF7BDC"/>
    <w:rsid w:val="00EF7D2D"/>
    <w:rsid w:val="00F0039F"/>
    <w:rsid w:val="00F02DCD"/>
    <w:rsid w:val="00F03B07"/>
    <w:rsid w:val="00F04410"/>
    <w:rsid w:val="00F0460D"/>
    <w:rsid w:val="00F0507B"/>
    <w:rsid w:val="00F06A51"/>
    <w:rsid w:val="00F079DF"/>
    <w:rsid w:val="00F117AC"/>
    <w:rsid w:val="00F11D06"/>
    <w:rsid w:val="00F120D3"/>
    <w:rsid w:val="00F124D1"/>
    <w:rsid w:val="00F126D6"/>
    <w:rsid w:val="00F12E77"/>
    <w:rsid w:val="00F13A97"/>
    <w:rsid w:val="00F13CAA"/>
    <w:rsid w:val="00F13CDD"/>
    <w:rsid w:val="00F14ADA"/>
    <w:rsid w:val="00F151A0"/>
    <w:rsid w:val="00F1559A"/>
    <w:rsid w:val="00F16834"/>
    <w:rsid w:val="00F168FE"/>
    <w:rsid w:val="00F2078B"/>
    <w:rsid w:val="00F208E1"/>
    <w:rsid w:val="00F214DB"/>
    <w:rsid w:val="00F22F38"/>
    <w:rsid w:val="00F23123"/>
    <w:rsid w:val="00F2498D"/>
    <w:rsid w:val="00F24C14"/>
    <w:rsid w:val="00F24E91"/>
    <w:rsid w:val="00F2538D"/>
    <w:rsid w:val="00F259D8"/>
    <w:rsid w:val="00F25D8A"/>
    <w:rsid w:val="00F25FD2"/>
    <w:rsid w:val="00F26244"/>
    <w:rsid w:val="00F263DF"/>
    <w:rsid w:val="00F27554"/>
    <w:rsid w:val="00F277AA"/>
    <w:rsid w:val="00F27A8E"/>
    <w:rsid w:val="00F27DF8"/>
    <w:rsid w:val="00F30D17"/>
    <w:rsid w:val="00F312A6"/>
    <w:rsid w:val="00F31368"/>
    <w:rsid w:val="00F3142F"/>
    <w:rsid w:val="00F31962"/>
    <w:rsid w:val="00F31FDD"/>
    <w:rsid w:val="00F3214E"/>
    <w:rsid w:val="00F32EF1"/>
    <w:rsid w:val="00F33BD6"/>
    <w:rsid w:val="00F342CC"/>
    <w:rsid w:val="00F34E96"/>
    <w:rsid w:val="00F3510A"/>
    <w:rsid w:val="00F35167"/>
    <w:rsid w:val="00F35FB1"/>
    <w:rsid w:val="00F3723C"/>
    <w:rsid w:val="00F37254"/>
    <w:rsid w:val="00F40933"/>
    <w:rsid w:val="00F40A93"/>
    <w:rsid w:val="00F413F9"/>
    <w:rsid w:val="00F42E1E"/>
    <w:rsid w:val="00F43951"/>
    <w:rsid w:val="00F4457D"/>
    <w:rsid w:val="00F4545C"/>
    <w:rsid w:val="00F465F5"/>
    <w:rsid w:val="00F466B9"/>
    <w:rsid w:val="00F46DD6"/>
    <w:rsid w:val="00F47FCA"/>
    <w:rsid w:val="00F5024E"/>
    <w:rsid w:val="00F50FC0"/>
    <w:rsid w:val="00F52E57"/>
    <w:rsid w:val="00F52F8A"/>
    <w:rsid w:val="00F54449"/>
    <w:rsid w:val="00F5465C"/>
    <w:rsid w:val="00F54C7F"/>
    <w:rsid w:val="00F558B4"/>
    <w:rsid w:val="00F55A37"/>
    <w:rsid w:val="00F56919"/>
    <w:rsid w:val="00F56CA6"/>
    <w:rsid w:val="00F56D88"/>
    <w:rsid w:val="00F5714E"/>
    <w:rsid w:val="00F578E4"/>
    <w:rsid w:val="00F60780"/>
    <w:rsid w:val="00F6079B"/>
    <w:rsid w:val="00F611EB"/>
    <w:rsid w:val="00F61201"/>
    <w:rsid w:val="00F61CEA"/>
    <w:rsid w:val="00F6262E"/>
    <w:rsid w:val="00F6269C"/>
    <w:rsid w:val="00F62FCA"/>
    <w:rsid w:val="00F64416"/>
    <w:rsid w:val="00F64DA0"/>
    <w:rsid w:val="00F6501E"/>
    <w:rsid w:val="00F66893"/>
    <w:rsid w:val="00F67841"/>
    <w:rsid w:val="00F70090"/>
    <w:rsid w:val="00F7029C"/>
    <w:rsid w:val="00F70D6A"/>
    <w:rsid w:val="00F7129E"/>
    <w:rsid w:val="00F716F7"/>
    <w:rsid w:val="00F72335"/>
    <w:rsid w:val="00F7234D"/>
    <w:rsid w:val="00F72449"/>
    <w:rsid w:val="00F72664"/>
    <w:rsid w:val="00F726B8"/>
    <w:rsid w:val="00F72A02"/>
    <w:rsid w:val="00F731F0"/>
    <w:rsid w:val="00F76EB2"/>
    <w:rsid w:val="00F77386"/>
    <w:rsid w:val="00F80F48"/>
    <w:rsid w:val="00F817DE"/>
    <w:rsid w:val="00F81CDA"/>
    <w:rsid w:val="00F82282"/>
    <w:rsid w:val="00F833C4"/>
    <w:rsid w:val="00F83EE3"/>
    <w:rsid w:val="00F84BC1"/>
    <w:rsid w:val="00F86D2E"/>
    <w:rsid w:val="00F879BF"/>
    <w:rsid w:val="00F9288C"/>
    <w:rsid w:val="00F94195"/>
    <w:rsid w:val="00F9498B"/>
    <w:rsid w:val="00F952D8"/>
    <w:rsid w:val="00F9571E"/>
    <w:rsid w:val="00F95A21"/>
    <w:rsid w:val="00F95E55"/>
    <w:rsid w:val="00F9650E"/>
    <w:rsid w:val="00F96517"/>
    <w:rsid w:val="00FA08C1"/>
    <w:rsid w:val="00FA1742"/>
    <w:rsid w:val="00FA239A"/>
    <w:rsid w:val="00FA27C0"/>
    <w:rsid w:val="00FA2FD1"/>
    <w:rsid w:val="00FA32D6"/>
    <w:rsid w:val="00FA3705"/>
    <w:rsid w:val="00FA39E6"/>
    <w:rsid w:val="00FA4143"/>
    <w:rsid w:val="00FA433E"/>
    <w:rsid w:val="00FA447E"/>
    <w:rsid w:val="00FA569F"/>
    <w:rsid w:val="00FA5A3F"/>
    <w:rsid w:val="00FA5F32"/>
    <w:rsid w:val="00FA62B9"/>
    <w:rsid w:val="00FA64EB"/>
    <w:rsid w:val="00FA671F"/>
    <w:rsid w:val="00FA69D3"/>
    <w:rsid w:val="00FA7BE6"/>
    <w:rsid w:val="00FA7C74"/>
    <w:rsid w:val="00FA7DB2"/>
    <w:rsid w:val="00FA7FC7"/>
    <w:rsid w:val="00FB022C"/>
    <w:rsid w:val="00FB10C8"/>
    <w:rsid w:val="00FB123C"/>
    <w:rsid w:val="00FB124C"/>
    <w:rsid w:val="00FB26E9"/>
    <w:rsid w:val="00FB27DA"/>
    <w:rsid w:val="00FB2FF3"/>
    <w:rsid w:val="00FB3892"/>
    <w:rsid w:val="00FB3C1D"/>
    <w:rsid w:val="00FB4039"/>
    <w:rsid w:val="00FB4291"/>
    <w:rsid w:val="00FB43CA"/>
    <w:rsid w:val="00FB4C7C"/>
    <w:rsid w:val="00FB5182"/>
    <w:rsid w:val="00FB7333"/>
    <w:rsid w:val="00FB77DF"/>
    <w:rsid w:val="00FC118E"/>
    <w:rsid w:val="00FC1207"/>
    <w:rsid w:val="00FC200D"/>
    <w:rsid w:val="00FC22DB"/>
    <w:rsid w:val="00FC2706"/>
    <w:rsid w:val="00FC368A"/>
    <w:rsid w:val="00FC3895"/>
    <w:rsid w:val="00FC42B0"/>
    <w:rsid w:val="00FC4BB5"/>
    <w:rsid w:val="00FC700E"/>
    <w:rsid w:val="00FC7864"/>
    <w:rsid w:val="00FC7F47"/>
    <w:rsid w:val="00FD04E6"/>
    <w:rsid w:val="00FD06BC"/>
    <w:rsid w:val="00FD0EA0"/>
    <w:rsid w:val="00FD21BC"/>
    <w:rsid w:val="00FD304B"/>
    <w:rsid w:val="00FD306B"/>
    <w:rsid w:val="00FD44EA"/>
    <w:rsid w:val="00FD5085"/>
    <w:rsid w:val="00FD5650"/>
    <w:rsid w:val="00FD5D1B"/>
    <w:rsid w:val="00FD5D55"/>
    <w:rsid w:val="00FD5F29"/>
    <w:rsid w:val="00FD61E1"/>
    <w:rsid w:val="00FD632E"/>
    <w:rsid w:val="00FD7F73"/>
    <w:rsid w:val="00FD7F83"/>
    <w:rsid w:val="00FE013D"/>
    <w:rsid w:val="00FE1355"/>
    <w:rsid w:val="00FE23B8"/>
    <w:rsid w:val="00FE2552"/>
    <w:rsid w:val="00FE3ADF"/>
    <w:rsid w:val="00FE3F6C"/>
    <w:rsid w:val="00FE481C"/>
    <w:rsid w:val="00FE4EA6"/>
    <w:rsid w:val="00FE59FA"/>
    <w:rsid w:val="00FE5C63"/>
    <w:rsid w:val="00FE6202"/>
    <w:rsid w:val="00FE6898"/>
    <w:rsid w:val="00FF038E"/>
    <w:rsid w:val="00FF164C"/>
    <w:rsid w:val="00FF223B"/>
    <w:rsid w:val="00FF2811"/>
    <w:rsid w:val="00FF2A29"/>
    <w:rsid w:val="00FF331F"/>
    <w:rsid w:val="00FF3A05"/>
    <w:rsid w:val="00FF3B3C"/>
    <w:rsid w:val="00FF4C4F"/>
    <w:rsid w:val="00FF77D9"/>
    <w:rsid w:val="00FF79F2"/>
    <w:rsid w:val="00FF7E44"/>
    <w:rsid w:val="529A171A"/>
    <w:rsid w:val="60433E11"/>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F211DB"/>
  <w15:docId w15:val="{799A5352-B068-4E95-8427-2B23CA5E81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Malgun Gothic"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qFormat="1"/>
    <w:lsdException w:name="annotation text" w:unhideWhenUsed="1"/>
    <w:lsdException w:name="header" w:uiPriority="0"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semiHidden="1"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rFonts w:ascii="Arial" w:hAnsi="Arial"/>
      <w:szCs w:val="22"/>
      <w:lang w:eastAsia="en-US"/>
    </w:rPr>
  </w:style>
  <w:style w:type="paragraph" w:styleId="1">
    <w:name w:val="heading 1"/>
    <w:next w:val="a"/>
    <w:link w:val="1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val="en-GB"/>
    </w:rPr>
  </w:style>
  <w:style w:type="paragraph" w:styleId="2">
    <w:name w:val="heading 2"/>
    <w:basedOn w:val="1"/>
    <w:next w:val="a"/>
    <w:link w:val="20"/>
    <w:qFormat/>
    <w:pPr>
      <w:numPr>
        <w:ilvl w:val="1"/>
      </w:numPr>
      <w:pBdr>
        <w:top w:val="none" w:sz="0" w:space="0" w:color="auto"/>
      </w:pBdr>
      <w:spacing w:before="180"/>
      <w:outlineLvl w:val="1"/>
    </w:pPr>
    <w:rPr>
      <w:sz w:val="24"/>
      <w:szCs w:val="32"/>
    </w:rPr>
  </w:style>
  <w:style w:type="paragraph" w:styleId="3">
    <w:name w:val="heading 3"/>
    <w:basedOn w:val="2"/>
    <w:next w:val="a"/>
    <w:link w:val="30"/>
    <w:qFormat/>
    <w:pPr>
      <w:numPr>
        <w:ilvl w:val="2"/>
      </w:numPr>
      <w:spacing w:before="120"/>
      <w:outlineLvl w:val="2"/>
    </w:pPr>
    <w:rPr>
      <w:sz w:val="22"/>
      <w:szCs w:val="28"/>
      <w:u w:val="single"/>
    </w:rPr>
  </w:style>
  <w:style w:type="paragraph" w:styleId="4">
    <w:name w:val="heading 4"/>
    <w:basedOn w:val="3"/>
    <w:next w:val="a"/>
    <w:link w:val="40"/>
    <w:qFormat/>
    <w:pPr>
      <w:numPr>
        <w:ilvl w:val="3"/>
      </w:numPr>
      <w:outlineLvl w:val="3"/>
    </w:pPr>
    <w:rPr>
      <w:sz w:val="24"/>
      <w:szCs w:val="24"/>
    </w:rPr>
  </w:style>
  <w:style w:type="paragraph" w:styleId="5">
    <w:name w:val="heading 5"/>
    <w:basedOn w:val="4"/>
    <w:next w:val="a"/>
    <w:link w:val="50"/>
    <w:qFormat/>
    <w:pPr>
      <w:numPr>
        <w:ilvl w:val="4"/>
      </w:numPr>
      <w:outlineLvl w:val="4"/>
    </w:pPr>
    <w:rPr>
      <w:sz w:val="22"/>
      <w:szCs w:val="22"/>
    </w:rPr>
  </w:style>
  <w:style w:type="paragraph" w:styleId="6">
    <w:name w:val="heading 6"/>
    <w:basedOn w:val="a"/>
    <w:next w:val="a"/>
    <w:link w:val="60"/>
    <w:qFormat/>
    <w:pPr>
      <w:keepNext/>
      <w:keepLines/>
      <w:numPr>
        <w:ilvl w:val="5"/>
        <w:numId w:val="1"/>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7">
    <w:name w:val="heading 7"/>
    <w:basedOn w:val="a"/>
    <w:next w:val="a"/>
    <w:link w:val="70"/>
    <w:qFormat/>
    <w:pPr>
      <w:keepNext/>
      <w:keepLines/>
      <w:numPr>
        <w:ilvl w:val="6"/>
        <w:numId w:val="1"/>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8">
    <w:name w:val="heading 8"/>
    <w:basedOn w:val="7"/>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uiPriority w:val="99"/>
    <w:semiHidden/>
    <w:unhideWhenUsed/>
    <w:qFormat/>
    <w:pPr>
      <w:ind w:leftChars="400" w:left="100" w:hangingChars="200" w:hanging="200"/>
      <w:contextualSpacing/>
    </w:pPr>
  </w:style>
  <w:style w:type="paragraph" w:styleId="a3">
    <w:name w:val="Document Map"/>
    <w:basedOn w:val="a"/>
    <w:link w:val="a4"/>
    <w:uiPriority w:val="99"/>
    <w:semiHidden/>
    <w:unhideWhenUsed/>
    <w:qFormat/>
    <w:pPr>
      <w:spacing w:after="0" w:line="240" w:lineRule="auto"/>
    </w:pPr>
    <w:rPr>
      <w:rFonts w:ascii="Tahoma" w:hAnsi="Tahoma" w:cs="Tahoma"/>
      <w:sz w:val="16"/>
      <w:szCs w:val="16"/>
    </w:rPr>
  </w:style>
  <w:style w:type="paragraph" w:styleId="a5">
    <w:name w:val="annotation text"/>
    <w:basedOn w:val="a"/>
    <w:link w:val="a6"/>
    <w:uiPriority w:val="99"/>
    <w:unhideWhenUsed/>
    <w:rPr>
      <w:szCs w:val="20"/>
    </w:rPr>
  </w:style>
  <w:style w:type="paragraph" w:styleId="a7">
    <w:name w:val="Body Text"/>
    <w:basedOn w:val="a"/>
    <w:link w:val="a8"/>
    <w:uiPriority w:val="99"/>
    <w:unhideWhenUsed/>
    <w:qFormat/>
    <w:pPr>
      <w:spacing w:after="120"/>
    </w:pPr>
  </w:style>
  <w:style w:type="paragraph" w:styleId="21">
    <w:name w:val="List 2"/>
    <w:basedOn w:val="a"/>
    <w:uiPriority w:val="99"/>
    <w:semiHidden/>
    <w:unhideWhenUsed/>
    <w:qFormat/>
    <w:pPr>
      <w:ind w:leftChars="200" w:left="100" w:hangingChars="200" w:hanging="200"/>
      <w:contextualSpacing/>
    </w:pPr>
  </w:style>
  <w:style w:type="paragraph" w:styleId="a9">
    <w:name w:val="Balloon Text"/>
    <w:basedOn w:val="a"/>
    <w:link w:val="aa"/>
    <w:uiPriority w:val="99"/>
    <w:semiHidden/>
    <w:unhideWhenUsed/>
    <w:qFormat/>
    <w:pPr>
      <w:spacing w:after="0" w:line="240" w:lineRule="auto"/>
    </w:pPr>
    <w:rPr>
      <w:rFonts w:ascii="Tahoma" w:hAnsi="Tahoma" w:cs="Tahoma"/>
      <w:sz w:val="16"/>
      <w:szCs w:val="16"/>
    </w:rPr>
  </w:style>
  <w:style w:type="paragraph" w:styleId="ab">
    <w:name w:val="footer"/>
    <w:basedOn w:val="a"/>
    <w:qFormat/>
    <w:pPr>
      <w:tabs>
        <w:tab w:val="center" w:pos="4703"/>
        <w:tab w:val="right" w:pos="9406"/>
      </w:tabs>
    </w:pPr>
  </w:style>
  <w:style w:type="paragraph" w:styleId="ac">
    <w:name w:val="header"/>
    <w:basedOn w:val="a"/>
    <w:qFormat/>
    <w:pPr>
      <w:tabs>
        <w:tab w:val="center" w:pos="4703"/>
        <w:tab w:val="right" w:pos="9406"/>
      </w:tabs>
    </w:pPr>
  </w:style>
  <w:style w:type="paragraph" w:styleId="TOC1">
    <w:name w:val="toc 1"/>
    <w:basedOn w:val="a"/>
    <w:next w:val="a"/>
    <w:semiHidden/>
    <w:qFormat/>
  </w:style>
  <w:style w:type="paragraph" w:styleId="ad">
    <w:name w:val="List"/>
    <w:basedOn w:val="a"/>
    <w:qFormat/>
    <w:pPr>
      <w:ind w:left="283" w:hanging="283"/>
    </w:pPr>
  </w:style>
  <w:style w:type="paragraph" w:styleId="ae">
    <w:name w:val="footnote text"/>
    <w:basedOn w:val="a"/>
    <w:semiHidden/>
    <w:qFormat/>
    <w:rPr>
      <w:szCs w:val="20"/>
    </w:rPr>
  </w:style>
  <w:style w:type="paragraph" w:styleId="TOC2">
    <w:name w:val="toc 2"/>
    <w:basedOn w:val="a"/>
    <w:next w:val="a"/>
    <w:semiHidden/>
    <w:qFormat/>
    <w:pPr>
      <w:ind w:left="200"/>
    </w:pPr>
  </w:style>
  <w:style w:type="paragraph" w:styleId="af">
    <w:name w:val="Normal (Web)"/>
    <w:basedOn w:val="a"/>
    <w:uiPriority w:val="99"/>
    <w:unhideWhenUsed/>
    <w:qFormat/>
    <w:pPr>
      <w:spacing w:before="100" w:beforeAutospacing="1" w:after="100" w:afterAutospacing="1" w:line="240" w:lineRule="auto"/>
    </w:pPr>
    <w:rPr>
      <w:rFonts w:ascii="Times New Roman" w:eastAsia="Times New Roman" w:hAnsi="Times New Roman"/>
      <w:sz w:val="24"/>
      <w:szCs w:val="24"/>
    </w:rPr>
  </w:style>
  <w:style w:type="paragraph" w:styleId="af0">
    <w:name w:val="annotation subject"/>
    <w:basedOn w:val="a5"/>
    <w:next w:val="a5"/>
    <w:link w:val="af1"/>
    <w:uiPriority w:val="99"/>
    <w:semiHidden/>
    <w:unhideWhenUsed/>
    <w:rPr>
      <w:b/>
      <w:bCs/>
    </w:rPr>
  </w:style>
  <w:style w:type="table" w:styleId="af2">
    <w:name w:val="Table Grid"/>
    <w:basedOn w:val="a1"/>
    <w:uiPriority w:val="39"/>
    <w:qFormat/>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page number"/>
    <w:basedOn w:val="a0"/>
    <w:qFormat/>
  </w:style>
  <w:style w:type="character" w:styleId="af4">
    <w:name w:val="FollowedHyperlink"/>
    <w:uiPriority w:val="99"/>
    <w:semiHidden/>
    <w:unhideWhenUsed/>
    <w:rPr>
      <w:color w:val="800080"/>
      <w:u w:val="single"/>
    </w:rPr>
  </w:style>
  <w:style w:type="character" w:styleId="af5">
    <w:name w:val="Hyperlink"/>
    <w:qFormat/>
    <w:rPr>
      <w:color w:val="0000FF"/>
      <w:u w:val="single"/>
    </w:rPr>
  </w:style>
  <w:style w:type="character" w:styleId="af6">
    <w:name w:val="annotation reference"/>
    <w:semiHidden/>
    <w:unhideWhenUsed/>
    <w:qFormat/>
    <w:rPr>
      <w:sz w:val="16"/>
      <w:szCs w:val="16"/>
    </w:rPr>
  </w:style>
  <w:style w:type="character" w:styleId="af7">
    <w:name w:val="footnote reference"/>
    <w:semiHidden/>
    <w:qFormat/>
    <w:rPr>
      <w:vertAlign w:val="superscript"/>
    </w:rPr>
  </w:style>
  <w:style w:type="paragraph" w:customStyle="1" w:styleId="Doc-title">
    <w:name w:val="Doc-title"/>
    <w:basedOn w:val="a"/>
    <w:next w:val="a"/>
    <w:link w:val="Doc-titleChar"/>
    <w:qFormat/>
    <w:pPr>
      <w:spacing w:after="0" w:line="240" w:lineRule="auto"/>
      <w:ind w:left="1260" w:hanging="1260"/>
    </w:pPr>
    <w:rPr>
      <w:rFonts w:eastAsia="MS Mincho"/>
      <w:szCs w:val="24"/>
      <w:lang w:val="en-GB" w:eastAsia="en-GB"/>
    </w:rPr>
  </w:style>
  <w:style w:type="character" w:customStyle="1" w:styleId="Doc-titleChar">
    <w:name w:val="Doc-title Char"/>
    <w:link w:val="Doc-title"/>
    <w:qFormat/>
    <w:rPr>
      <w:rFonts w:ascii="Arial" w:eastAsia="MS Mincho" w:hAnsi="Arial" w:cs="Times New Roman"/>
      <w:sz w:val="20"/>
      <w:szCs w:val="24"/>
      <w:lang w:val="en-GB" w:eastAsia="en-GB"/>
    </w:rPr>
  </w:style>
  <w:style w:type="character" w:customStyle="1" w:styleId="aa">
    <w:name w:val="批注框文本 字符"/>
    <w:link w:val="a9"/>
    <w:uiPriority w:val="99"/>
    <w:semiHidden/>
    <w:qFormat/>
    <w:rPr>
      <w:rFonts w:ascii="Tahoma" w:hAnsi="Tahoma" w:cs="Tahoma"/>
      <w:sz w:val="16"/>
      <w:szCs w:val="16"/>
    </w:rPr>
  </w:style>
  <w:style w:type="paragraph" w:styleId="af8">
    <w:name w:val="List Paragraph"/>
    <w:basedOn w:val="a"/>
    <w:uiPriority w:val="34"/>
    <w:qFormat/>
    <w:pPr>
      <w:ind w:left="720"/>
      <w:contextualSpacing/>
    </w:pPr>
  </w:style>
  <w:style w:type="character" w:customStyle="1" w:styleId="a4">
    <w:name w:val="文档结构图 字符"/>
    <w:link w:val="a3"/>
    <w:uiPriority w:val="99"/>
    <w:semiHidden/>
    <w:qFormat/>
    <w:rPr>
      <w:rFonts w:ascii="Tahoma" w:hAnsi="Tahoma" w:cs="Tahoma"/>
      <w:sz w:val="16"/>
      <w:szCs w:val="16"/>
    </w:rPr>
  </w:style>
  <w:style w:type="character" w:customStyle="1" w:styleId="10">
    <w:name w:val="标题 1 字符"/>
    <w:link w:val="1"/>
    <w:qFormat/>
    <w:rPr>
      <w:rFonts w:ascii="Arial" w:eastAsia="Times New Roman" w:hAnsi="Arial" w:cs="Arial"/>
      <w:sz w:val="28"/>
      <w:szCs w:val="36"/>
      <w:lang w:val="en-GB" w:eastAsia="zh-CN"/>
    </w:rPr>
  </w:style>
  <w:style w:type="character" w:customStyle="1" w:styleId="20">
    <w:name w:val="标题 2 字符"/>
    <w:link w:val="2"/>
    <w:qFormat/>
    <w:rPr>
      <w:rFonts w:ascii="Arial" w:eastAsia="Times New Roman" w:hAnsi="Arial" w:cs="Arial"/>
      <w:sz w:val="24"/>
      <w:szCs w:val="32"/>
      <w:lang w:val="en-GB" w:eastAsia="zh-CN"/>
    </w:rPr>
  </w:style>
  <w:style w:type="character" w:customStyle="1" w:styleId="30">
    <w:name w:val="标题 3 字符"/>
    <w:link w:val="3"/>
    <w:qFormat/>
    <w:rPr>
      <w:rFonts w:ascii="Arial" w:eastAsia="Times New Roman" w:hAnsi="Arial" w:cs="Arial"/>
      <w:sz w:val="22"/>
      <w:szCs w:val="28"/>
      <w:u w:val="single"/>
      <w:lang w:val="en-GB" w:eastAsia="zh-CN"/>
    </w:rPr>
  </w:style>
  <w:style w:type="character" w:customStyle="1" w:styleId="40">
    <w:name w:val="标题 4 字符"/>
    <w:link w:val="4"/>
    <w:qFormat/>
    <w:rPr>
      <w:rFonts w:ascii="Arial" w:eastAsia="Times New Roman" w:hAnsi="Arial" w:cs="Arial"/>
      <w:sz w:val="24"/>
      <w:szCs w:val="24"/>
      <w:u w:val="single"/>
      <w:lang w:val="en-GB" w:eastAsia="zh-CN"/>
    </w:rPr>
  </w:style>
  <w:style w:type="character" w:customStyle="1" w:styleId="50">
    <w:name w:val="标题 5 字符"/>
    <w:link w:val="5"/>
    <w:qFormat/>
    <w:rPr>
      <w:rFonts w:ascii="Arial" w:eastAsia="Times New Roman" w:hAnsi="Arial" w:cs="Arial"/>
      <w:sz w:val="22"/>
      <w:szCs w:val="22"/>
      <w:u w:val="single"/>
      <w:lang w:val="en-GB" w:eastAsia="zh-CN"/>
    </w:rPr>
  </w:style>
  <w:style w:type="character" w:customStyle="1" w:styleId="60">
    <w:name w:val="标题 6 字符"/>
    <w:link w:val="6"/>
    <w:qFormat/>
    <w:rPr>
      <w:rFonts w:ascii="Arial" w:eastAsia="Times New Roman" w:hAnsi="Arial" w:cs="Arial"/>
      <w:lang w:val="en-GB" w:eastAsia="zh-CN"/>
    </w:rPr>
  </w:style>
  <w:style w:type="character" w:customStyle="1" w:styleId="70">
    <w:name w:val="标题 7 字符"/>
    <w:link w:val="7"/>
    <w:qFormat/>
    <w:rPr>
      <w:rFonts w:ascii="Arial" w:eastAsia="Times New Roman" w:hAnsi="Arial" w:cs="Arial"/>
      <w:lang w:val="en-GB" w:eastAsia="zh-CN"/>
    </w:rPr>
  </w:style>
  <w:style w:type="character" w:customStyle="1" w:styleId="80">
    <w:name w:val="标题 8 字符"/>
    <w:link w:val="8"/>
    <w:qFormat/>
    <w:rPr>
      <w:rFonts w:ascii="Arial" w:eastAsia="Times New Roman" w:hAnsi="Arial" w:cs="Arial"/>
      <w:lang w:val="en-GB" w:eastAsia="zh-CN"/>
    </w:rPr>
  </w:style>
  <w:style w:type="character" w:customStyle="1" w:styleId="90">
    <w:name w:val="标题 9 字符"/>
    <w:link w:val="9"/>
    <w:qFormat/>
    <w:rPr>
      <w:rFonts w:ascii="Arial" w:eastAsia="Times New Roman" w:hAnsi="Arial" w:cs="Arial"/>
      <w:lang w:val="en-GB" w:eastAsia="zh-CN"/>
    </w:rPr>
  </w:style>
  <w:style w:type="paragraph" w:customStyle="1" w:styleId="3GPPHeader">
    <w:name w:val="3GPP_Header"/>
    <w:basedOn w:val="a"/>
    <w:link w:val="3GPPHeaderChar"/>
    <w:qFormat/>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qFormat/>
    <w:rPr>
      <w:rFonts w:ascii="Times New Roman" w:eastAsia="Times New Roman" w:hAnsi="Times New Roman" w:cs="Times New Roman"/>
      <w:b/>
      <w:sz w:val="24"/>
      <w:szCs w:val="20"/>
      <w:lang w:val="en-GB" w:eastAsia="zh-CN"/>
    </w:rPr>
  </w:style>
  <w:style w:type="character" w:customStyle="1" w:styleId="a6">
    <w:name w:val="批注文字 字符"/>
    <w:basedOn w:val="a0"/>
    <w:link w:val="a5"/>
    <w:uiPriority w:val="99"/>
    <w:qFormat/>
  </w:style>
  <w:style w:type="character" w:customStyle="1" w:styleId="af1">
    <w:name w:val="批注主题 字符"/>
    <w:link w:val="af0"/>
    <w:uiPriority w:val="99"/>
    <w:semiHidden/>
    <w:qFormat/>
    <w:rPr>
      <w:b/>
      <w:bCs/>
    </w:rPr>
  </w:style>
  <w:style w:type="paragraph" w:customStyle="1" w:styleId="11">
    <w:name w:val="修订1"/>
    <w:hidden/>
    <w:uiPriority w:val="99"/>
    <w:semiHidden/>
    <w:qFormat/>
    <w:rPr>
      <w:sz w:val="22"/>
      <w:szCs w:val="22"/>
      <w:lang w:eastAsia="en-US"/>
    </w:rPr>
  </w:style>
  <w:style w:type="paragraph" w:customStyle="1" w:styleId="Doc-text2">
    <w:name w:val="Doc-text2"/>
    <w:basedOn w:val="a"/>
    <w:link w:val="Doc-text2Char"/>
    <w:qFormat/>
    <w:pPr>
      <w:tabs>
        <w:tab w:val="left" w:pos="1622"/>
      </w:tabs>
      <w:spacing w:after="0" w:line="240" w:lineRule="auto"/>
      <w:ind w:left="1622" w:hanging="363"/>
    </w:pPr>
    <w:rPr>
      <w:rFonts w:eastAsia="MS Mincho"/>
      <w:szCs w:val="24"/>
      <w:lang w:val="en-GB" w:eastAsia="en-GB"/>
    </w:rPr>
  </w:style>
  <w:style w:type="character" w:customStyle="1" w:styleId="Doc-text2Char">
    <w:name w:val="Doc-text2 Char"/>
    <w:link w:val="Doc-text2"/>
    <w:qFormat/>
    <w:rPr>
      <w:rFonts w:ascii="Arial" w:eastAsia="MS Mincho" w:hAnsi="Arial"/>
      <w:szCs w:val="24"/>
      <w:lang w:val="en-GB" w:eastAsia="en-GB" w:bidi="ar-SA"/>
    </w:rPr>
  </w:style>
  <w:style w:type="character" w:customStyle="1" w:styleId="msoins0">
    <w:name w:val="msoins"/>
    <w:basedOn w:val="a0"/>
    <w:qFormat/>
  </w:style>
  <w:style w:type="paragraph" w:customStyle="1" w:styleId="NO">
    <w:name w:val="NO"/>
    <w:basedOn w:val="a"/>
    <w:link w:val="NOChar"/>
    <w:qFormat/>
    <w:pPr>
      <w:keepLines/>
      <w:spacing w:after="180" w:line="240" w:lineRule="auto"/>
      <w:ind w:left="1135" w:hanging="851"/>
    </w:pPr>
    <w:rPr>
      <w:rFonts w:ascii="Times New Roman" w:eastAsia="Times New Roman" w:hAnsi="Times New Roman"/>
      <w:szCs w:val="20"/>
      <w:lang w:val="en-GB"/>
    </w:rPr>
  </w:style>
  <w:style w:type="paragraph" w:customStyle="1" w:styleId="B1">
    <w:name w:val="B1"/>
    <w:basedOn w:val="ad"/>
    <w:link w:val="B1Char"/>
    <w:qFormat/>
    <w:pPr>
      <w:overflowPunct w:val="0"/>
      <w:autoSpaceDE w:val="0"/>
      <w:autoSpaceDN w:val="0"/>
      <w:adjustRightInd w:val="0"/>
      <w:spacing w:after="180" w:line="240" w:lineRule="auto"/>
      <w:ind w:left="568" w:hanging="284"/>
      <w:textAlignment w:val="baseline"/>
    </w:pPr>
    <w:rPr>
      <w:rFonts w:ascii="Times New Roman" w:eastAsia="Times New Roman" w:hAnsi="Times New Roman"/>
      <w:szCs w:val="20"/>
      <w:lang w:val="en-GB"/>
    </w:rPr>
  </w:style>
  <w:style w:type="character" w:customStyle="1" w:styleId="B1Char">
    <w:name w:val="B1 Char"/>
    <w:link w:val="B1"/>
    <w:qFormat/>
    <w:rPr>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character" w:customStyle="1" w:styleId="PLChar">
    <w:name w:val="PL Char"/>
    <w:link w:val="PL"/>
    <w:qFormat/>
    <w:rPr>
      <w:rFonts w:ascii="Courier New" w:eastAsia="Times New Roman" w:hAnsi="Courier New"/>
      <w:sz w:val="16"/>
      <w:lang w:val="en-GB" w:eastAsia="ja-JP" w:bidi="ar-SA"/>
    </w:rPr>
  </w:style>
  <w:style w:type="character" w:customStyle="1" w:styleId="NOChar">
    <w:name w:val="NO Char"/>
    <w:link w:val="NO"/>
    <w:qFormat/>
    <w:rPr>
      <w:rFonts w:ascii="Times New Roman" w:eastAsia="Times New Roman" w:hAnsi="Times New Roman"/>
      <w:lang w:val="en-GB"/>
    </w:rPr>
  </w:style>
  <w:style w:type="paragraph" w:customStyle="1" w:styleId="TAL">
    <w:name w:val="TAL"/>
    <w:basedOn w:val="a"/>
    <w:link w:val="TALCar"/>
    <w:qFormat/>
    <w:pPr>
      <w:keepNext/>
      <w:keepLines/>
      <w:overflowPunct w:val="0"/>
      <w:autoSpaceDE w:val="0"/>
      <w:autoSpaceDN w:val="0"/>
      <w:adjustRightInd w:val="0"/>
      <w:spacing w:after="0" w:line="240" w:lineRule="auto"/>
      <w:textAlignment w:val="baseline"/>
    </w:pPr>
    <w:rPr>
      <w:rFonts w:eastAsia="Times New Roman"/>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TALCharChar">
    <w:name w:val="TAL Char Char"/>
    <w:basedOn w:val="a"/>
    <w:link w:val="TALCharCharChar"/>
    <w:qFormat/>
    <w:pPr>
      <w:keepNext/>
      <w:keepLines/>
      <w:overflowPunct w:val="0"/>
      <w:autoSpaceDE w:val="0"/>
      <w:autoSpaceDN w:val="0"/>
      <w:adjustRightInd w:val="0"/>
      <w:spacing w:after="0" w:line="240" w:lineRule="auto"/>
      <w:textAlignment w:val="baseline"/>
    </w:pPr>
    <w:rPr>
      <w:rFonts w:eastAsia="Times New Roman"/>
      <w:sz w:val="18"/>
      <w:szCs w:val="20"/>
      <w:lang w:val="en-GB" w:eastAsia="ja-JP"/>
    </w:rPr>
  </w:style>
  <w:style w:type="character" w:customStyle="1" w:styleId="TALCharCharChar">
    <w:name w:val="TAL Char Char Char"/>
    <w:link w:val="TALCharChar"/>
    <w:qFormat/>
    <w:rPr>
      <w:rFonts w:ascii="Arial" w:eastAsia="Times New Roman" w:hAnsi="Arial"/>
      <w:sz w:val="18"/>
      <w:lang w:val="en-GB" w:eastAsia="ja-JP"/>
    </w:rPr>
  </w:style>
  <w:style w:type="paragraph" w:customStyle="1" w:styleId="TAH">
    <w:name w:val="TAH"/>
    <w:basedOn w:val="a"/>
    <w:link w:val="TAHCar"/>
    <w:qFormat/>
    <w:pPr>
      <w:keepNext/>
      <w:keepLines/>
      <w:overflowPunct w:val="0"/>
      <w:autoSpaceDE w:val="0"/>
      <w:autoSpaceDN w:val="0"/>
      <w:adjustRightInd w:val="0"/>
      <w:spacing w:after="0" w:line="240" w:lineRule="auto"/>
      <w:jc w:val="center"/>
      <w:textAlignment w:val="baseline"/>
    </w:pPr>
    <w:rPr>
      <w:rFonts w:eastAsia="Times New Roman"/>
      <w:b/>
      <w:sz w:val="18"/>
      <w:szCs w:val="20"/>
      <w:lang w:val="en-GB" w:eastAsia="ja-JP"/>
    </w:rPr>
  </w:style>
  <w:style w:type="paragraph" w:customStyle="1" w:styleId="TAN">
    <w:name w:val="TAN"/>
    <w:basedOn w:val="TAL"/>
    <w:link w:val="TANChar"/>
    <w:qFormat/>
    <w:pPr>
      <w:ind w:left="851" w:hanging="851"/>
    </w:pPr>
  </w:style>
  <w:style w:type="character" w:customStyle="1" w:styleId="TANChar">
    <w:name w:val="TAN Char"/>
    <w:basedOn w:val="TALCar"/>
    <w:link w:val="TAN"/>
    <w:qFormat/>
    <w:rPr>
      <w:rFonts w:ascii="Arial" w:eastAsia="Times New Roman" w:hAnsi="Arial"/>
      <w:sz w:val="18"/>
      <w:lang w:val="en-GB" w:eastAsia="ja-JP"/>
    </w:rPr>
  </w:style>
  <w:style w:type="character" w:customStyle="1" w:styleId="TAHCar">
    <w:name w:val="TAH Car"/>
    <w:link w:val="TAH"/>
    <w:qFormat/>
    <w:rPr>
      <w:rFonts w:ascii="Arial" w:eastAsia="Times New Roman" w:hAnsi="Arial"/>
      <w:b/>
      <w:sz w:val="18"/>
      <w:lang w:val="en-GB" w:eastAsia="ja-JP"/>
    </w:rPr>
  </w:style>
  <w:style w:type="paragraph" w:customStyle="1" w:styleId="IvDInstructiontext">
    <w:name w:val="IvD Instructiontext"/>
    <w:basedOn w:val="a7"/>
    <w:link w:val="IvDInstructiontextChar"/>
    <w:uiPriority w:val="99"/>
    <w:qFormat/>
    <w:pPr>
      <w:keepLines/>
      <w:tabs>
        <w:tab w:val="left" w:pos="2552"/>
        <w:tab w:val="left" w:pos="3856"/>
        <w:tab w:val="left" w:pos="5216"/>
        <w:tab w:val="left" w:pos="6464"/>
        <w:tab w:val="left" w:pos="7768"/>
        <w:tab w:val="left" w:pos="9072"/>
        <w:tab w:val="left" w:pos="9639"/>
      </w:tabs>
      <w:spacing w:before="240" w:after="0" w:line="240" w:lineRule="auto"/>
    </w:pPr>
    <w:rPr>
      <w:rFonts w:eastAsia="Times New Roman"/>
      <w:i/>
      <w:color w:val="7F7F7F"/>
      <w:spacing w:val="2"/>
      <w:sz w:val="18"/>
      <w:szCs w:val="18"/>
    </w:rPr>
  </w:style>
  <w:style w:type="character" w:customStyle="1" w:styleId="IvDInstructiontextChar">
    <w:name w:val="IvD Instructiontext Char"/>
    <w:link w:val="IvDInstructiontext"/>
    <w:uiPriority w:val="99"/>
    <w:qFormat/>
    <w:rPr>
      <w:rFonts w:ascii="Arial" w:eastAsia="Times New Roman" w:hAnsi="Arial"/>
      <w:i/>
      <w:color w:val="7F7F7F"/>
      <w:spacing w:val="2"/>
      <w:sz w:val="18"/>
      <w:szCs w:val="18"/>
    </w:rPr>
  </w:style>
  <w:style w:type="paragraph" w:customStyle="1" w:styleId="IvDbodytext">
    <w:name w:val="IvD bodytext"/>
    <w:basedOn w:val="a7"/>
    <w:link w:val="IvDbodytextChar"/>
    <w:qFormat/>
    <w:pPr>
      <w:keepLines/>
      <w:tabs>
        <w:tab w:val="left" w:pos="2552"/>
        <w:tab w:val="left" w:pos="3856"/>
        <w:tab w:val="left" w:pos="5216"/>
        <w:tab w:val="left" w:pos="6464"/>
        <w:tab w:val="left" w:pos="7768"/>
        <w:tab w:val="left" w:pos="9072"/>
        <w:tab w:val="left" w:pos="9639"/>
      </w:tabs>
      <w:spacing w:before="240" w:after="0" w:line="240" w:lineRule="auto"/>
    </w:pPr>
    <w:rPr>
      <w:rFonts w:eastAsia="Times New Roman"/>
      <w:spacing w:val="2"/>
      <w:szCs w:val="20"/>
    </w:rPr>
  </w:style>
  <w:style w:type="character" w:customStyle="1" w:styleId="IvDbodytextChar">
    <w:name w:val="IvD bodytext Char"/>
    <w:link w:val="IvDbodytext"/>
    <w:qFormat/>
    <w:rPr>
      <w:rFonts w:ascii="Arial" w:eastAsia="Times New Roman" w:hAnsi="Arial"/>
      <w:spacing w:val="2"/>
    </w:rPr>
  </w:style>
  <w:style w:type="character" w:customStyle="1" w:styleId="a8">
    <w:name w:val="正文文本 字符"/>
    <w:link w:val="a7"/>
    <w:uiPriority w:val="99"/>
    <w:qFormat/>
    <w:rPr>
      <w:rFonts w:ascii="Arial" w:hAnsi="Arial"/>
      <w:szCs w:val="22"/>
    </w:rPr>
  </w:style>
  <w:style w:type="character" w:customStyle="1" w:styleId="12">
    <w:name w:val="@他1"/>
    <w:uiPriority w:val="99"/>
    <w:semiHidden/>
    <w:unhideWhenUsed/>
    <w:qFormat/>
    <w:rPr>
      <w:color w:val="2B579A"/>
      <w:shd w:val="clear" w:color="auto" w:fill="E6E6E6"/>
    </w:rPr>
  </w:style>
  <w:style w:type="character" w:customStyle="1" w:styleId="13">
    <w:name w:val="未处理的提及1"/>
    <w:uiPriority w:val="99"/>
    <w:semiHidden/>
    <w:unhideWhenUsed/>
    <w:qFormat/>
    <w:rPr>
      <w:color w:val="808080"/>
      <w:shd w:val="clear" w:color="auto" w:fill="E6E6E6"/>
    </w:rPr>
  </w:style>
  <w:style w:type="paragraph" w:customStyle="1" w:styleId="Agreement">
    <w:name w:val="Agreement"/>
    <w:basedOn w:val="a"/>
    <w:next w:val="Doc-text2"/>
    <w:uiPriority w:val="99"/>
    <w:qFormat/>
    <w:pPr>
      <w:numPr>
        <w:numId w:val="2"/>
      </w:numPr>
      <w:spacing w:before="60" w:after="0" w:line="240" w:lineRule="auto"/>
    </w:pPr>
    <w:rPr>
      <w:rFonts w:eastAsia="MS Mincho"/>
      <w:b/>
      <w:szCs w:val="24"/>
      <w:lang w:val="en-GB" w:eastAsia="en-GB"/>
    </w:rPr>
  </w:style>
  <w:style w:type="character" w:customStyle="1" w:styleId="B2Char">
    <w:name w:val="B2 Char"/>
    <w:link w:val="B2"/>
    <w:qFormat/>
    <w:locked/>
    <w:rPr>
      <w:rFonts w:ascii="Times New Roman" w:eastAsia="Times New Roman" w:hAnsi="Times New Roman"/>
      <w:lang w:val="en-GB"/>
    </w:rPr>
  </w:style>
  <w:style w:type="paragraph" w:customStyle="1" w:styleId="B2">
    <w:name w:val="B2"/>
    <w:basedOn w:val="21"/>
    <w:link w:val="B2Char"/>
    <w:qFormat/>
    <w:pPr>
      <w:overflowPunct w:val="0"/>
      <w:autoSpaceDE w:val="0"/>
      <w:autoSpaceDN w:val="0"/>
      <w:adjustRightInd w:val="0"/>
      <w:spacing w:after="180" w:line="240" w:lineRule="auto"/>
      <w:ind w:leftChars="0" w:left="851" w:firstLineChars="0" w:hanging="284"/>
      <w:contextualSpacing w:val="0"/>
    </w:pPr>
    <w:rPr>
      <w:rFonts w:ascii="Times New Roman" w:eastAsia="Times New Roman" w:hAnsi="Times New Roman"/>
      <w:szCs w:val="20"/>
      <w:lang w:val="en-GB" w:eastAsia="ja-JP"/>
    </w:rPr>
  </w:style>
  <w:style w:type="character" w:customStyle="1" w:styleId="B3Char2">
    <w:name w:val="B3 Char2"/>
    <w:link w:val="B3"/>
    <w:qFormat/>
    <w:locked/>
    <w:rPr>
      <w:rFonts w:ascii="Times New Roman" w:eastAsia="Times New Roman" w:hAnsi="Times New Roman"/>
      <w:lang w:val="en-GB"/>
    </w:rPr>
  </w:style>
  <w:style w:type="paragraph" w:customStyle="1" w:styleId="B3">
    <w:name w:val="B3"/>
    <w:basedOn w:val="31"/>
    <w:link w:val="B3Char2"/>
    <w:qFormat/>
    <w:pPr>
      <w:overflowPunct w:val="0"/>
      <w:autoSpaceDE w:val="0"/>
      <w:autoSpaceDN w:val="0"/>
      <w:adjustRightInd w:val="0"/>
      <w:spacing w:after="180" w:line="240" w:lineRule="auto"/>
      <w:ind w:leftChars="0" w:left="1135" w:firstLineChars="0" w:hanging="284"/>
      <w:contextualSpacing w:val="0"/>
    </w:pPr>
    <w:rPr>
      <w:rFonts w:ascii="Times New Roman" w:eastAsia="Times New Roman" w:hAnsi="Times New Roman"/>
      <w:szCs w:val="20"/>
      <w:lang w:val="en-GB" w:eastAsia="ja-JP"/>
    </w:rPr>
  </w:style>
  <w:style w:type="character" w:customStyle="1" w:styleId="THChar">
    <w:name w:val="TH Char"/>
    <w:link w:val="TH"/>
    <w:qFormat/>
    <w:locked/>
    <w:rPr>
      <w:rFonts w:ascii="Arial" w:eastAsia="Times New Roman" w:hAnsi="Arial" w:cs="Arial"/>
      <w:b/>
      <w:lang w:val="en-GB"/>
    </w:rPr>
  </w:style>
  <w:style w:type="paragraph" w:customStyle="1" w:styleId="TH">
    <w:name w:val="TH"/>
    <w:basedOn w:val="a"/>
    <w:link w:val="THChar"/>
    <w:qFormat/>
    <w:pPr>
      <w:keepNext/>
      <w:keepLines/>
      <w:overflowPunct w:val="0"/>
      <w:autoSpaceDE w:val="0"/>
      <w:autoSpaceDN w:val="0"/>
      <w:adjustRightInd w:val="0"/>
      <w:spacing w:before="60" w:after="180" w:line="240" w:lineRule="auto"/>
      <w:jc w:val="center"/>
    </w:pPr>
    <w:rPr>
      <w:rFonts w:eastAsia="Times New Roman" w:cs="Arial"/>
      <w:b/>
      <w:szCs w:val="20"/>
      <w:lang w:val="en-GB" w:eastAsia="ja-JP"/>
    </w:rPr>
  </w:style>
  <w:style w:type="paragraph" w:customStyle="1" w:styleId="agreement0">
    <w:name w:val="agreement"/>
    <w:basedOn w:val="a"/>
    <w:qFormat/>
    <w:pPr>
      <w:spacing w:before="100" w:beforeAutospacing="1" w:after="100" w:afterAutospacing="1" w:line="240" w:lineRule="auto"/>
    </w:pPr>
    <w:rPr>
      <w:rFonts w:ascii="宋体" w:eastAsia="宋体" w:hAnsi="宋体" w:cs="宋体"/>
      <w:sz w:val="24"/>
      <w:szCs w:val="24"/>
      <w:lang w:eastAsia="zh-CN"/>
    </w:rPr>
  </w:style>
  <w:style w:type="character" w:customStyle="1" w:styleId="15">
    <w:name w:val="15"/>
    <w:qFormat/>
    <w:rPr>
      <w:rFonts w:ascii="CG Times (WN)" w:hAnsi="CG Times (WN)" w:hint="default"/>
      <w:color w:val="0000FF"/>
      <w:u w:val="single"/>
    </w:rPr>
  </w:style>
  <w:style w:type="paragraph" w:styleId="af9">
    <w:name w:val="Revision"/>
    <w:hidden/>
    <w:uiPriority w:val="99"/>
    <w:unhideWhenUsed/>
    <w:rsid w:val="00BB02D1"/>
    <w:rPr>
      <w:rFonts w:ascii="Arial" w:hAnsi="Arial"/>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16B0922-F18E-4479-9F11-342CD588E03B}">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90BA2679-B654-4FF9-916E-9EB0EF7CA174}">
  <ds:schemaRefs>
    <ds:schemaRef ds:uri="http://schemas.microsoft.com/sharepoint/v3/contenttype/forms"/>
  </ds:schemaRefs>
</ds:datastoreItem>
</file>

<file path=customXml/itemProps3.xml><?xml version="1.0" encoding="utf-8"?>
<ds:datastoreItem xmlns:ds="http://schemas.openxmlformats.org/officeDocument/2006/customXml" ds:itemID="{210253C8-AA70-4CE6-81E2-38DF6615B251}">
  <ds:schemaRefs>
    <ds:schemaRef ds:uri="http://schemas.openxmlformats.org/officeDocument/2006/bibliography"/>
  </ds:schemaRefs>
</ds:datastoreItem>
</file>

<file path=customXml/itemProps4.xml><?xml version="1.0" encoding="utf-8"?>
<ds:datastoreItem xmlns:ds="http://schemas.openxmlformats.org/officeDocument/2006/customXml" ds:itemID="{42ED2EE7-633F-463F-8DA8-5926A076AD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02A4B22-38A0-4123-8C36-006412DDB52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3</Pages>
  <Words>1224</Words>
  <Characters>6981</Characters>
  <Application>Microsoft Office Word</Application>
  <DocSecurity>0</DocSecurity>
  <Lines>58</Lines>
  <Paragraphs>16</Paragraphs>
  <ScaleCrop>false</ScaleCrop>
  <Company>Ericsson</Company>
  <LinksUpToDate>false</LinksUpToDate>
  <CharactersWithSpaces>8189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cecilia.eklof@ericsson.com</dc:creator>
  <cp:lastModifiedBy>China Unicom</cp:lastModifiedBy>
  <cp:revision>5</cp:revision>
  <cp:lastPrinted>2017-06-13T15:21:00Z</cp:lastPrinted>
  <dcterms:created xsi:type="dcterms:W3CDTF">2023-11-03T01:42:00Z</dcterms:created>
  <dcterms:modified xsi:type="dcterms:W3CDTF">2023-11-03T03:58:00Z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ocHome">
    <vt:i4>1433778749</vt:i4>
  </property>
  <property fmtid="{D5CDD505-2E9C-101B-9397-08002B2CF9AE}" pid="4" name="ContentTypeId">
    <vt:lpwstr>0x010100F3E9551B3FDDA24EBF0A209BAAD637CA</vt:lpwstr>
  </property>
  <property fmtid="{D5CDD505-2E9C-101B-9397-08002B2CF9AE}" pid="5" name="TaxCatchAll">
    <vt:lpwstr/>
  </property>
  <property fmtid="{D5CDD505-2E9C-101B-9397-08002B2CF9AE}" pid="6" name="_dlc_DocIdPersistId">
    <vt:lpwstr/>
  </property>
  <property fmtid="{D5CDD505-2E9C-101B-9397-08002B2CF9AE}" pid="7" name="Prepared.">
    <vt:lpwstr/>
  </property>
  <property fmtid="{D5CDD505-2E9C-101B-9397-08002B2CF9AE}" pid="8" name="$Resources:core,Signoff_Status;">
    <vt:lpwstr/>
  </property>
  <property fmtid="{D5CDD505-2E9C-101B-9397-08002B2CF9AE}" pid="9" name="EriCOLLCategoryTaxHTField0">
    <vt:lpwstr/>
  </property>
  <property fmtid="{D5CDD505-2E9C-101B-9397-08002B2CF9AE}" pid="10" name="EriCOLLCustomerTaxHTField0">
    <vt:lpwstr/>
  </property>
  <property fmtid="{D5CDD505-2E9C-101B-9397-08002B2CF9AE}" pid="11" name="Issue in OI list (Y/N)">
    <vt:lpwstr/>
  </property>
  <property fmtid="{D5CDD505-2E9C-101B-9397-08002B2CF9AE}" pid="12" name="EriCOLLCompetenceTaxHTField0">
    <vt:lpwstr/>
  </property>
  <property fmtid="{D5CDD505-2E9C-101B-9397-08002B2CF9AE}" pid="13" name="EriCOLLCountryTaxHTField0">
    <vt:lpwstr/>
  </property>
  <property fmtid="{D5CDD505-2E9C-101B-9397-08002B2CF9AE}" pid="14" name="EriCOLLProjectsTaxHTField0">
    <vt:lpwstr/>
  </property>
  <property fmtid="{D5CDD505-2E9C-101B-9397-08002B2CF9AE}" pid="15" name="IconOverlay">
    <vt:lpwstr/>
  </property>
  <property fmtid="{D5CDD505-2E9C-101B-9397-08002B2CF9AE}" pid="16" name="EriCOLLProcessTaxHTField0">
    <vt:lpwstr/>
  </property>
  <property fmtid="{D5CDD505-2E9C-101B-9397-08002B2CF9AE}" pid="17" name="EriCOLLDate.">
    <vt:lpwstr/>
  </property>
  <property fmtid="{D5CDD505-2E9C-101B-9397-08002B2CF9AE}" pid="18" name="TaxCatchAllLabel">
    <vt:lpwstr/>
  </property>
  <property fmtid="{D5CDD505-2E9C-101B-9397-08002B2CF9AE}" pid="19" name="TaxKeywordTaxHTField">
    <vt:lpwstr/>
  </property>
  <property fmtid="{D5CDD505-2E9C-101B-9397-08002B2CF9AE}" pid="20" name="EriCOLLOrganizationUnitTaxHTField0">
    <vt:lpwstr/>
  </property>
  <property fmtid="{D5CDD505-2E9C-101B-9397-08002B2CF9AE}" pid="21" name="EriCOLLProductsTaxHTField0">
    <vt:lpwstr/>
  </property>
  <property fmtid="{D5CDD505-2E9C-101B-9397-08002B2CF9AE}" pid="22" name="AbstractOrSummary.">
    <vt:lpwstr/>
  </property>
  <property fmtid="{D5CDD505-2E9C-101B-9397-08002B2CF9AE}" pid="23" name="_ip_UnifiedCompliancePolicyUIAction">
    <vt:lpwstr/>
  </property>
  <property fmtid="{D5CDD505-2E9C-101B-9397-08002B2CF9AE}" pid="24" name="_ip_UnifiedCompliancePolicyProperties">
    <vt:lpwstr/>
  </property>
  <property fmtid="{D5CDD505-2E9C-101B-9397-08002B2CF9AE}" pid="25" name="Sign-off status">
    <vt:lpwstr/>
  </property>
  <property fmtid="{D5CDD505-2E9C-101B-9397-08002B2CF9AE}" pid="26" name="KSOProductBuildVer">
    <vt:lpwstr>2052-12.1.0.15712</vt:lpwstr>
  </property>
  <property fmtid="{D5CDD505-2E9C-101B-9397-08002B2CF9AE}" pid="27" name="ICV">
    <vt:lpwstr>CE435502EB8244D49912A019751CA424_12</vt:lpwstr>
  </property>
</Properties>
</file>